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240"/>
        </w:tabs>
        <w:ind w:firstLine="0" w:firstLineChars="0"/>
        <w:jc w:val="left"/>
        <w:rPr>
          <w:b/>
          <w:sz w:val="40"/>
        </w:rPr>
      </w:pPr>
    </w:p>
    <w:p>
      <w:pPr>
        <w:tabs>
          <w:tab w:val="left" w:pos="3240"/>
        </w:tabs>
        <w:ind w:firstLine="0" w:firstLineChars="0"/>
        <w:jc w:val="left"/>
        <w:rPr>
          <w:b/>
          <w:sz w:val="40"/>
        </w:rPr>
      </w:pPr>
    </w:p>
    <w:p>
      <w:pPr>
        <w:tabs>
          <w:tab w:val="left" w:pos="3240"/>
        </w:tabs>
        <w:ind w:firstLine="0" w:firstLineChars="0"/>
        <w:jc w:val="left"/>
        <w:rPr>
          <w:b/>
          <w:sz w:val="40"/>
        </w:rPr>
      </w:pPr>
    </w:p>
    <w:p>
      <w:pPr>
        <w:ind w:firstLine="0" w:firstLineChars="0"/>
        <w:jc w:val="center"/>
        <w:rPr>
          <w:b/>
          <w:sz w:val="52"/>
        </w:rPr>
      </w:pPr>
      <w:r>
        <w:rPr>
          <w:rFonts w:hint="eastAsia"/>
          <w:b/>
          <w:sz w:val="52"/>
        </w:rPr>
        <w:t>云和县“十三五”道路运输发展规划</w:t>
      </w: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jc w:val="center"/>
        <w:rPr>
          <w:b/>
          <w:sz w:val="40"/>
        </w:rPr>
      </w:pPr>
    </w:p>
    <w:p>
      <w:pPr>
        <w:ind w:firstLine="0" w:firstLineChars="0"/>
        <w:rPr>
          <w:b/>
          <w:sz w:val="40"/>
        </w:rPr>
      </w:pPr>
    </w:p>
    <w:p>
      <w:pPr>
        <w:ind w:firstLine="0" w:firstLineChars="0"/>
        <w:rPr>
          <w:b/>
          <w:sz w:val="40"/>
        </w:rPr>
      </w:pPr>
    </w:p>
    <w:p>
      <w:pPr>
        <w:ind w:firstLine="2600" w:firstLineChars="0"/>
        <w:rPr>
          <w:b/>
          <w:sz w:val="32"/>
        </w:rPr>
      </w:pPr>
      <w:r>
        <w:rPr>
          <w:rFonts w:hint="eastAsia"/>
          <w:b/>
          <w:sz w:val="32"/>
        </w:rPr>
        <w:t>云和县道路运输管理局</w:t>
      </w:r>
    </w:p>
    <w:p>
      <w:pPr>
        <w:ind w:firstLine="2600" w:firstLineChars="0"/>
        <w:rPr>
          <w:b/>
          <w:sz w:val="32"/>
        </w:rPr>
      </w:pPr>
      <w:r>
        <w:rPr>
          <w:rFonts w:hint="eastAsia"/>
          <w:b/>
          <w:sz w:val="32"/>
        </w:rPr>
        <w:t>浙江交通职业技术学院</w:t>
      </w:r>
    </w:p>
    <w:p>
      <w:pPr>
        <w:ind w:firstLine="2600" w:firstLineChars="0"/>
        <w:rPr>
          <w:b/>
          <w:sz w:val="32"/>
        </w:rPr>
      </w:pPr>
    </w:p>
    <w:p>
      <w:pPr>
        <w:ind w:firstLine="2600" w:firstLineChars="0"/>
        <w:rPr>
          <w:b/>
          <w:sz w:val="32"/>
        </w:rPr>
      </w:pPr>
    </w:p>
    <w:p>
      <w:pPr>
        <w:ind w:firstLine="2600" w:firstLineChars="0"/>
        <w:rPr>
          <w:b/>
          <w:sz w:val="32"/>
        </w:rPr>
      </w:pPr>
    </w:p>
    <w:p>
      <w:pPr>
        <w:ind w:firstLine="2600" w:firstLineChars="0"/>
        <w:rPr>
          <w:b/>
          <w:sz w:val="32"/>
        </w:rPr>
        <w:sectPr>
          <w:headerReference r:id="rId7" w:type="first"/>
          <w:footerReference r:id="rId10" w:type="first"/>
          <w:headerReference r:id="rId5" w:type="default"/>
          <w:footerReference r:id="rId8" w:type="default"/>
          <w:headerReference r:id="rId6" w:type="even"/>
          <w:footerReference r:id="rId9" w:type="even"/>
          <w:pgSz w:w="11900" w:h="16840"/>
          <w:pgMar w:top="1440" w:right="985" w:bottom="1440" w:left="1701" w:header="851" w:footer="992" w:gutter="0"/>
          <w:cols w:space="425" w:num="1"/>
          <w:docGrid w:type="lines" w:linePitch="312" w:charSpace="0"/>
        </w:sectPr>
      </w:pPr>
    </w:p>
    <w:p>
      <w:pPr>
        <w:ind w:firstLine="883"/>
        <w:jc w:val="center"/>
        <w:rPr>
          <w:b/>
          <w:sz w:val="44"/>
          <w:szCs w:val="44"/>
        </w:rPr>
      </w:pPr>
      <w:r>
        <w:rPr>
          <w:rFonts w:hint="eastAsia"/>
          <w:b/>
          <w:sz w:val="44"/>
          <w:szCs w:val="44"/>
        </w:rPr>
        <w:t>目录</w:t>
      </w:r>
    </w:p>
    <w:p>
      <w:pPr>
        <w:pStyle w:val="16"/>
        <w:tabs>
          <w:tab w:val="right" w:leader="dot" w:pos="9828"/>
        </w:tabs>
        <w:ind w:firstLine="480"/>
        <w:rPr>
          <w:rFonts w:asciiTheme="minorHAnsi" w:hAnsiTheme="minorHAnsi" w:eastAsiaTheme="minorEastAsia" w:cstheme="minorBidi"/>
          <w:kern w:val="2"/>
          <w:sz w:val="24"/>
          <w:szCs w:val="24"/>
        </w:rPr>
      </w:pPr>
      <w:bookmarkStart w:id="0" w:name="_Toc317843267"/>
      <w:r>
        <w:rPr>
          <w:sz w:val="24"/>
        </w:rPr>
        <w:fldChar w:fldCharType="begin"/>
      </w:r>
      <w:r>
        <w:rPr>
          <w:sz w:val="24"/>
        </w:rPr>
        <w:instrText xml:space="preserve"> TOC \o "1-1" \t "标题 2,2" </w:instrText>
      </w:r>
      <w:r>
        <w:rPr>
          <w:sz w:val="24"/>
        </w:rPr>
        <w:fldChar w:fldCharType="separate"/>
      </w:r>
      <w:r>
        <w:rPr>
          <w:rFonts w:hint="eastAsia"/>
        </w:rPr>
        <w:t>第一章前言</w:t>
      </w:r>
      <w:r>
        <w:tab/>
      </w:r>
      <w:r>
        <w:fldChar w:fldCharType="begin"/>
      </w:r>
      <w:r>
        <w:instrText xml:space="preserve"> PAGEREF _Toc340220186 \h </w:instrText>
      </w:r>
      <w:r>
        <w:fldChar w:fldCharType="separate"/>
      </w:r>
      <w:r>
        <w:t>1</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1.1</w:t>
      </w:r>
      <w:r>
        <w:rPr>
          <w:rFonts w:hint="eastAsia"/>
        </w:rPr>
        <w:t>规划背景</w:t>
      </w:r>
      <w:r>
        <w:tab/>
      </w:r>
      <w:r>
        <w:fldChar w:fldCharType="begin"/>
      </w:r>
      <w:r>
        <w:instrText xml:space="preserve"> PAGEREF _Toc340220187 \h </w:instrText>
      </w:r>
      <w:r>
        <w:fldChar w:fldCharType="separate"/>
      </w:r>
      <w:r>
        <w:t>1</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1.2</w:t>
      </w:r>
      <w:r>
        <w:rPr>
          <w:rFonts w:hint="eastAsia"/>
        </w:rPr>
        <w:t>规划范围、内容与期限</w:t>
      </w:r>
      <w:r>
        <w:tab/>
      </w:r>
      <w:r>
        <w:fldChar w:fldCharType="begin"/>
      </w:r>
      <w:r>
        <w:instrText xml:space="preserve"> PAGEREF _Toc340220188 \h </w:instrText>
      </w:r>
      <w:r>
        <w:fldChar w:fldCharType="separate"/>
      </w:r>
      <w:r>
        <w:t>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1.3</w:t>
      </w:r>
      <w:r>
        <w:rPr>
          <w:rFonts w:hint="eastAsia"/>
        </w:rPr>
        <w:t>规划依据</w:t>
      </w:r>
      <w:r>
        <w:tab/>
      </w:r>
      <w:r>
        <w:fldChar w:fldCharType="begin"/>
      </w:r>
      <w:r>
        <w:instrText xml:space="preserve"> PAGEREF _Toc340220189 \h </w:instrText>
      </w:r>
      <w:r>
        <w:fldChar w:fldCharType="separate"/>
      </w:r>
      <w:r>
        <w:t>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1.4</w:t>
      </w:r>
      <w:r>
        <w:rPr>
          <w:rFonts w:hint="eastAsia"/>
        </w:rPr>
        <w:t>研究思路</w:t>
      </w:r>
      <w:r>
        <w:tab/>
      </w:r>
      <w:r>
        <w:fldChar w:fldCharType="begin"/>
      </w:r>
      <w:r>
        <w:instrText xml:space="preserve"> PAGEREF _Toc340220190 \h </w:instrText>
      </w:r>
      <w:r>
        <w:fldChar w:fldCharType="separate"/>
      </w:r>
      <w:r>
        <w:t>3</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第二章“十二五”期间云和县道路运输发展现状</w:t>
      </w:r>
      <w:r>
        <w:tab/>
      </w:r>
      <w:r>
        <w:fldChar w:fldCharType="begin"/>
      </w:r>
      <w:r>
        <w:instrText xml:space="preserve"> PAGEREF _Toc340220191 \h </w:instrText>
      </w:r>
      <w:r>
        <w:fldChar w:fldCharType="separate"/>
      </w:r>
      <w:r>
        <w:t>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2.1</w:t>
      </w:r>
      <w:r>
        <w:rPr>
          <w:rFonts w:hint="eastAsia"/>
        </w:rPr>
        <w:t>“十二五”云和县社会经济发展总体情况</w:t>
      </w:r>
      <w:r>
        <w:tab/>
      </w:r>
      <w:r>
        <w:fldChar w:fldCharType="begin"/>
      </w:r>
      <w:r>
        <w:instrText xml:space="preserve"> PAGEREF _Toc340220192 \h </w:instrText>
      </w:r>
      <w:r>
        <w:fldChar w:fldCharType="separate"/>
      </w:r>
      <w:r>
        <w:t>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2.2</w:t>
      </w:r>
      <w:r>
        <w:rPr>
          <w:rFonts w:hint="eastAsia"/>
        </w:rPr>
        <w:t>“十二五”云和县道路运输业发展总体情况</w:t>
      </w:r>
      <w:r>
        <w:tab/>
      </w:r>
      <w:r>
        <w:fldChar w:fldCharType="begin"/>
      </w:r>
      <w:r>
        <w:instrText xml:space="preserve"> PAGEREF _Toc340220193 \h </w:instrText>
      </w:r>
      <w:r>
        <w:fldChar w:fldCharType="separate"/>
      </w:r>
      <w:r>
        <w:t>5</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2.3</w:t>
      </w:r>
      <w:r>
        <w:rPr>
          <w:rFonts w:hint="eastAsia"/>
        </w:rPr>
        <w:t>“十二五”道路运输业发展取得的主要成就</w:t>
      </w:r>
      <w:r>
        <w:tab/>
      </w:r>
      <w:r>
        <w:fldChar w:fldCharType="begin"/>
      </w:r>
      <w:r>
        <w:instrText xml:space="preserve"> PAGEREF _Toc340220194 \h </w:instrText>
      </w:r>
      <w:r>
        <w:fldChar w:fldCharType="separate"/>
      </w:r>
      <w:r>
        <w:t>21</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2.4</w:t>
      </w:r>
      <w:r>
        <w:rPr>
          <w:rFonts w:hint="eastAsia"/>
        </w:rPr>
        <w:t>云和县道路运输发展存在的问题</w:t>
      </w:r>
      <w:r>
        <w:tab/>
      </w:r>
      <w:r>
        <w:fldChar w:fldCharType="begin"/>
      </w:r>
      <w:r>
        <w:instrText xml:space="preserve"> PAGEREF _Toc340220195 \h </w:instrText>
      </w:r>
      <w:r>
        <w:fldChar w:fldCharType="separate"/>
      </w:r>
      <w:r>
        <w:t>28</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第三章新形势下云和县道路运输发展新要求</w:t>
      </w:r>
      <w:r>
        <w:tab/>
      </w:r>
      <w:r>
        <w:fldChar w:fldCharType="begin"/>
      </w:r>
      <w:r>
        <w:instrText xml:space="preserve"> PAGEREF _Toc340220196 \h </w:instrText>
      </w:r>
      <w:r>
        <w:fldChar w:fldCharType="separate"/>
      </w:r>
      <w:r>
        <w:t>34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3.1</w:t>
      </w:r>
      <w:r>
        <w:rPr>
          <w:rFonts w:hint="eastAsia"/>
        </w:rPr>
        <w:t>面临的宏观发展形势对运输服务提出的新要求</w:t>
      </w:r>
      <w:r>
        <w:tab/>
      </w:r>
      <w:r>
        <w:fldChar w:fldCharType="begin"/>
      </w:r>
      <w:r>
        <w:instrText xml:space="preserve"> PAGEREF _Toc340220197 \h </w:instrText>
      </w:r>
      <w:r>
        <w:fldChar w:fldCharType="separate"/>
      </w:r>
      <w:r>
        <w:t>34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3.2</w:t>
      </w:r>
      <w:r>
        <w:rPr>
          <w:rFonts w:hint="eastAsia"/>
        </w:rPr>
        <w:t>综合交通运输体系推进道路运输加速发展</w:t>
      </w:r>
      <w:r>
        <w:tab/>
      </w:r>
      <w:r>
        <w:fldChar w:fldCharType="begin"/>
      </w:r>
      <w:r>
        <w:instrText xml:space="preserve"> PAGEREF _Toc340220198 \h </w:instrText>
      </w:r>
      <w:r>
        <w:fldChar w:fldCharType="separate"/>
      </w:r>
      <w:r>
        <w:t>37</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3.3</w:t>
      </w:r>
      <w:r>
        <w:rPr>
          <w:rFonts w:hint="eastAsia"/>
        </w:rPr>
        <w:t>多元化运输方式对道路运输行业发展的影响和要求</w:t>
      </w:r>
      <w:r>
        <w:tab/>
      </w:r>
      <w:r>
        <w:fldChar w:fldCharType="begin"/>
      </w:r>
      <w:r>
        <w:instrText xml:space="preserve"> PAGEREF _Toc340220199 \h </w:instrText>
      </w:r>
      <w:r>
        <w:fldChar w:fldCharType="separate"/>
      </w:r>
      <w:r>
        <w:t>38</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3.4</w:t>
      </w:r>
      <w:r>
        <w:rPr>
          <w:rFonts w:hint="eastAsia"/>
        </w:rPr>
        <w:t>绿色发展要求引导行业节能减排对道路运输提出新要求</w:t>
      </w:r>
      <w:r>
        <w:tab/>
      </w:r>
      <w:r>
        <w:fldChar w:fldCharType="begin"/>
      </w:r>
      <w:r>
        <w:instrText xml:space="preserve"> PAGEREF _Toc340220200 \h </w:instrText>
      </w:r>
      <w:r>
        <w:fldChar w:fldCharType="separate"/>
      </w:r>
      <w:r>
        <w:t>40</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3.5</w:t>
      </w:r>
      <w:r>
        <w:rPr>
          <w:rFonts w:hint="eastAsia"/>
        </w:rPr>
        <w:t>发展的资源要素环境</w:t>
      </w:r>
      <w:r>
        <w:tab/>
      </w:r>
      <w:r>
        <w:fldChar w:fldCharType="begin"/>
      </w:r>
      <w:r>
        <w:instrText xml:space="preserve"> PAGEREF _Toc340220201 \h </w:instrText>
      </w:r>
      <w:r>
        <w:fldChar w:fldCharType="separate"/>
      </w:r>
      <w:r>
        <w:t>40</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3.6</w:t>
      </w:r>
      <w:r>
        <w:rPr>
          <w:rFonts w:hint="eastAsia"/>
        </w:rPr>
        <w:t>管理制度改革对行业管理提出了新要求</w:t>
      </w:r>
      <w:r>
        <w:tab/>
      </w:r>
      <w:r>
        <w:fldChar w:fldCharType="begin"/>
      </w:r>
      <w:r>
        <w:instrText xml:space="preserve"> PAGEREF _Toc340220202 \h </w:instrText>
      </w:r>
      <w:r>
        <w:fldChar w:fldCharType="separate"/>
      </w:r>
      <w:r>
        <w:t>42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3.7</w:t>
      </w:r>
      <w:r>
        <w:rPr>
          <w:rFonts w:hint="eastAsia"/>
        </w:rPr>
        <w:t>行业安全监管对道路运输行业发展提出了更高要求</w:t>
      </w:r>
      <w:r>
        <w:tab/>
      </w:r>
      <w:r>
        <w:fldChar w:fldCharType="begin"/>
      </w:r>
      <w:r>
        <w:instrText xml:space="preserve"> PAGEREF _Toc340220203 \h </w:instrText>
      </w:r>
      <w:r>
        <w:fldChar w:fldCharType="separate"/>
      </w:r>
      <w:r>
        <w:t>43</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第四章“十三五”道路运输发展需求预测</w:t>
      </w:r>
      <w:r>
        <w:tab/>
      </w:r>
      <w:r>
        <w:fldChar w:fldCharType="begin"/>
      </w:r>
      <w:r>
        <w:instrText xml:space="preserve"> PAGEREF _Toc340220204 \h </w:instrText>
      </w:r>
      <w:r>
        <w:fldChar w:fldCharType="separate"/>
      </w:r>
      <w:r>
        <w:t>44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4.1</w:t>
      </w:r>
      <w:r>
        <w:rPr>
          <w:rFonts w:hint="eastAsia"/>
        </w:rPr>
        <w:t>预测思路及方法</w:t>
      </w:r>
      <w:r>
        <w:tab/>
      </w:r>
      <w:r>
        <w:fldChar w:fldCharType="begin"/>
      </w:r>
      <w:r>
        <w:instrText xml:space="preserve"> PAGEREF _Toc340220205 \h </w:instrText>
      </w:r>
      <w:r>
        <w:fldChar w:fldCharType="separate"/>
      </w:r>
      <w:r>
        <w:t>44</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4.2</w:t>
      </w:r>
      <w:r>
        <w:rPr>
          <w:rFonts w:hint="eastAsia"/>
        </w:rPr>
        <w:t>预测步骤及结果</w:t>
      </w:r>
      <w:r>
        <w:tab/>
      </w:r>
      <w:r>
        <w:fldChar w:fldCharType="begin"/>
      </w:r>
      <w:r>
        <w:instrText xml:space="preserve"> PAGEREF _Toc340220206 \h </w:instrText>
      </w:r>
      <w:r>
        <w:fldChar w:fldCharType="separate"/>
      </w:r>
      <w:r>
        <w:t>45</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第五章云和道路运输业“十三五”发展思路及目标</w:t>
      </w:r>
      <w:r>
        <w:tab/>
      </w:r>
      <w:r>
        <w:fldChar w:fldCharType="begin"/>
      </w:r>
      <w:r>
        <w:instrText xml:space="preserve"> PAGEREF _Toc340220207 \h </w:instrText>
      </w:r>
      <w:r>
        <w:fldChar w:fldCharType="separate"/>
      </w:r>
      <w:r>
        <w:t>49</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5.1</w:t>
      </w:r>
      <w:r>
        <w:rPr>
          <w:rFonts w:hint="eastAsia"/>
        </w:rPr>
        <w:t>指导思想</w:t>
      </w:r>
      <w:r>
        <w:tab/>
      </w:r>
      <w:r>
        <w:fldChar w:fldCharType="begin"/>
      </w:r>
      <w:r>
        <w:instrText xml:space="preserve"> PAGEREF _Toc340220208 \h </w:instrText>
      </w:r>
      <w:r>
        <w:fldChar w:fldCharType="separate"/>
      </w:r>
      <w:r>
        <w:t>49</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5.2</w:t>
      </w:r>
      <w:r>
        <w:rPr>
          <w:rFonts w:hint="eastAsia"/>
        </w:rPr>
        <w:t>基本原则</w:t>
      </w:r>
      <w:r>
        <w:tab/>
      </w:r>
      <w:r>
        <w:fldChar w:fldCharType="begin"/>
      </w:r>
      <w:r>
        <w:instrText xml:space="preserve"> PAGEREF _Toc340220209 \h </w:instrText>
      </w:r>
      <w:r>
        <w:fldChar w:fldCharType="separate"/>
      </w:r>
      <w:r>
        <w:t>49</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5.3</w:t>
      </w:r>
      <w:r>
        <w:rPr>
          <w:rFonts w:hint="eastAsia"/>
        </w:rPr>
        <w:t>十三五”发展目标</w:t>
      </w:r>
      <w:r>
        <w:tab/>
      </w:r>
      <w:r>
        <w:fldChar w:fldCharType="begin"/>
      </w:r>
      <w:r>
        <w:instrText xml:space="preserve"> PAGEREF _Toc340220210 \h </w:instrText>
      </w:r>
      <w:r>
        <w:fldChar w:fldCharType="separate"/>
      </w:r>
      <w:r>
        <w:t>51</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第六章云和县道路运输“十三五”发展重点</w:t>
      </w:r>
      <w:r>
        <w:tab/>
      </w:r>
      <w:r>
        <w:fldChar w:fldCharType="begin"/>
      </w:r>
      <w:r>
        <w:instrText xml:space="preserve"> PAGEREF _Toc340220211 \h </w:instrText>
      </w:r>
      <w:r>
        <w:fldChar w:fldCharType="separate"/>
      </w:r>
      <w:r>
        <w:t>67</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6.1</w:t>
      </w:r>
      <w:r>
        <w:rPr>
          <w:rFonts w:hint="eastAsia"/>
        </w:rPr>
        <w:t>道路旅客运输发展重点</w:t>
      </w:r>
      <w:r>
        <w:tab/>
      </w:r>
      <w:r>
        <w:fldChar w:fldCharType="begin"/>
      </w:r>
      <w:r>
        <w:instrText xml:space="preserve"> PAGEREF _Toc340220212 \h </w:instrText>
      </w:r>
      <w:r>
        <w:fldChar w:fldCharType="separate"/>
      </w:r>
      <w:r>
        <w:t>67</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6.2</w:t>
      </w:r>
      <w:r>
        <w:rPr>
          <w:rFonts w:hint="eastAsia"/>
        </w:rPr>
        <w:t>道路货物运输（物流）发展重点</w:t>
      </w:r>
      <w:r>
        <w:tab/>
      </w:r>
      <w:r>
        <w:fldChar w:fldCharType="begin"/>
      </w:r>
      <w:r>
        <w:instrText xml:space="preserve"> PAGEREF _Toc340220213 \h </w:instrText>
      </w:r>
      <w:r>
        <w:fldChar w:fldCharType="separate"/>
      </w:r>
      <w:r>
        <w:t>78</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6.3</w:t>
      </w:r>
      <w:r>
        <w:rPr>
          <w:rFonts w:hint="eastAsia"/>
        </w:rPr>
        <w:t>机动车维修发展重点</w:t>
      </w:r>
      <w:r>
        <w:tab/>
      </w:r>
      <w:r>
        <w:fldChar w:fldCharType="begin"/>
      </w:r>
      <w:r>
        <w:instrText xml:space="preserve"> PAGEREF _Toc340220214 \h </w:instrText>
      </w:r>
      <w:r>
        <w:fldChar w:fldCharType="separate"/>
      </w:r>
      <w:r>
        <w:t>79</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6.4</w:t>
      </w:r>
      <w:r>
        <w:rPr>
          <w:rFonts w:hint="eastAsia"/>
        </w:rPr>
        <w:t>道路运输行业监管发展重点</w:t>
      </w:r>
      <w:r>
        <w:tab/>
      </w:r>
      <w:r>
        <w:fldChar w:fldCharType="begin"/>
      </w:r>
      <w:r>
        <w:instrText xml:space="preserve"> PAGEREF _Toc340220215 \h </w:instrText>
      </w:r>
      <w:r>
        <w:fldChar w:fldCharType="separate"/>
      </w:r>
      <w:r>
        <w:t>80</w:t>
      </w:r>
      <w:r>
        <w:fldChar w:fldCharType="end"/>
      </w:r>
    </w:p>
    <w:p>
      <w:pPr>
        <w:pStyle w:val="16"/>
        <w:tabs>
          <w:tab w:val="right" w:leader="dot" w:pos="9828"/>
        </w:tabs>
        <w:ind w:firstLine="560"/>
        <w:rPr>
          <w:rFonts w:asciiTheme="minorHAnsi" w:hAnsiTheme="minorHAnsi" w:eastAsiaTheme="minorEastAsia" w:cstheme="minorBidi"/>
          <w:kern w:val="2"/>
          <w:sz w:val="24"/>
          <w:szCs w:val="24"/>
        </w:rPr>
      </w:pPr>
      <w:r>
        <w:rPr>
          <w:rFonts w:hint="eastAsia"/>
        </w:rPr>
        <w:t>第七章保障措施</w:t>
      </w:r>
      <w:r>
        <w:tab/>
      </w:r>
      <w:r>
        <w:fldChar w:fldCharType="begin"/>
      </w:r>
      <w:r>
        <w:instrText xml:space="preserve"> PAGEREF _Toc340220216 \h </w:instrText>
      </w:r>
      <w:r>
        <w:fldChar w:fldCharType="separate"/>
      </w:r>
      <w:r>
        <w:t>82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7.1</w:t>
      </w:r>
      <w:r>
        <w:rPr>
          <w:rFonts w:hint="eastAsia"/>
        </w:rPr>
        <w:t>组织保障</w:t>
      </w:r>
      <w:r>
        <w:tab/>
      </w:r>
      <w:r>
        <w:fldChar w:fldCharType="begin"/>
      </w:r>
      <w:r>
        <w:instrText xml:space="preserve"> PAGEREF _Toc340220217 \h </w:instrText>
      </w:r>
      <w:r>
        <w:fldChar w:fldCharType="separate"/>
      </w:r>
      <w:r>
        <w:t>82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7.2</w:t>
      </w:r>
      <w:r>
        <w:rPr>
          <w:rFonts w:hint="eastAsia"/>
        </w:rPr>
        <w:t>要素保障</w:t>
      </w:r>
      <w:r>
        <w:tab/>
      </w:r>
      <w:r>
        <w:fldChar w:fldCharType="begin"/>
      </w:r>
      <w:r>
        <w:instrText xml:space="preserve"> PAGEREF _Toc340220218 \h </w:instrText>
      </w:r>
      <w:r>
        <w:fldChar w:fldCharType="separate"/>
      </w:r>
      <w:r>
        <w:t>82</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7.3</w:t>
      </w:r>
      <w:r>
        <w:rPr>
          <w:rFonts w:hint="eastAsia"/>
        </w:rPr>
        <w:t>队伍保障</w:t>
      </w:r>
      <w:r>
        <w:tab/>
      </w:r>
      <w:r>
        <w:fldChar w:fldCharType="begin"/>
      </w:r>
      <w:r>
        <w:instrText xml:space="preserve"> PAGEREF _Toc340220219 \h </w:instrText>
      </w:r>
      <w:r>
        <w:fldChar w:fldCharType="separate"/>
      </w:r>
      <w:r>
        <w:t>83</w:t>
      </w:r>
      <w:r>
        <w:fldChar w:fldCharType="end"/>
      </w:r>
    </w:p>
    <w:p>
      <w:pPr>
        <w:pStyle w:val="19"/>
        <w:tabs>
          <w:tab w:val="right" w:leader="dot" w:pos="9828"/>
        </w:tabs>
        <w:ind w:left="560" w:firstLine="560"/>
        <w:rPr>
          <w:rFonts w:asciiTheme="minorHAnsi" w:hAnsiTheme="minorHAnsi" w:eastAsiaTheme="minorEastAsia" w:cstheme="minorBidi"/>
          <w:kern w:val="2"/>
          <w:sz w:val="24"/>
          <w:szCs w:val="24"/>
        </w:rPr>
      </w:pPr>
      <w:r>
        <w:t>7.4</w:t>
      </w:r>
      <w:r>
        <w:rPr>
          <w:rFonts w:hint="eastAsia"/>
        </w:rPr>
        <w:t>规划保障</w:t>
      </w:r>
      <w:r>
        <w:tab/>
      </w:r>
      <w:r>
        <w:fldChar w:fldCharType="begin"/>
      </w:r>
      <w:r>
        <w:instrText xml:space="preserve"> PAGEREF _Toc340220220 \h </w:instrText>
      </w:r>
      <w:r>
        <w:fldChar w:fldCharType="separate"/>
      </w:r>
      <w:r>
        <w:t>83</w:t>
      </w:r>
      <w:r>
        <w:fldChar w:fldCharType="end"/>
      </w:r>
    </w:p>
    <w:p>
      <w:pPr>
        <w:ind w:firstLine="480"/>
        <w:rPr>
          <w:sz w:val="24"/>
        </w:rPr>
      </w:pPr>
      <w:r>
        <w:rPr>
          <w:sz w:val="24"/>
        </w:rPr>
        <w:fldChar w:fldCharType="end"/>
      </w:r>
    </w:p>
    <w:p>
      <w:pPr>
        <w:ind w:firstLine="480"/>
        <w:rPr>
          <w:sz w:val="24"/>
        </w:rPr>
      </w:pPr>
    </w:p>
    <w:p>
      <w:pPr>
        <w:ind w:firstLine="480"/>
        <w:rPr>
          <w:sz w:val="24"/>
        </w:rPr>
      </w:pPr>
    </w:p>
    <w:p>
      <w:pPr>
        <w:widowControl/>
        <w:spacing w:line="240" w:lineRule="auto"/>
        <w:ind w:firstLine="0" w:firstLineChars="0"/>
        <w:jc w:val="left"/>
        <w:sectPr>
          <w:headerReference r:id="rId11" w:type="default"/>
          <w:footerReference r:id="rId12" w:type="default"/>
          <w:pgSz w:w="11900" w:h="16840"/>
          <w:pgMar w:top="720" w:right="1268" w:bottom="720" w:left="794" w:header="851" w:footer="992" w:gutter="0"/>
          <w:pgNumType w:fmt="lowerRoman" w:start="1"/>
          <w:cols w:space="425" w:num="1"/>
          <w:docGrid w:type="lines" w:linePitch="381" w:charSpace="0"/>
        </w:sectPr>
      </w:pPr>
    </w:p>
    <w:p>
      <w:pPr>
        <w:pStyle w:val="2"/>
        <w:spacing w:after="190"/>
      </w:pPr>
      <w:bookmarkStart w:id="1" w:name="_Toc340220186"/>
      <w:r>
        <w:rPr>
          <w:rFonts w:hint="eastAsia"/>
        </w:rPr>
        <w:t>第一章前言</w:t>
      </w:r>
      <w:bookmarkEnd w:id="0"/>
      <w:bookmarkEnd w:id="1"/>
    </w:p>
    <w:p>
      <w:pPr>
        <w:pStyle w:val="3"/>
        <w:spacing w:before="190" w:after="190"/>
      </w:pPr>
      <w:bookmarkStart w:id="2" w:name="_Toc317843268"/>
      <w:bookmarkStart w:id="3" w:name="_Toc340220187"/>
      <w:r>
        <w:t>1.1</w:t>
      </w:r>
      <w:r>
        <w:rPr>
          <w:rFonts w:hint="eastAsia"/>
        </w:rPr>
        <w:t>规划背景</w:t>
      </w:r>
      <w:bookmarkEnd w:id="2"/>
      <w:bookmarkEnd w:id="3"/>
    </w:p>
    <w:p>
      <w:pPr>
        <w:ind w:firstLine="560"/>
        <w:rPr>
          <w:szCs w:val="28"/>
        </w:rPr>
      </w:pPr>
      <w:r>
        <w:rPr>
          <w:rFonts w:hint="eastAsia"/>
          <w:szCs w:val="28"/>
        </w:rPr>
        <w:t>党的十八大提出了推进新型城镇化建设，建设美丽中国，全面建成小康社会的建设目标。当前是云和县认真贯彻落实党的十八大和十八届三中、</w:t>
      </w:r>
      <w:r>
        <w:rPr>
          <w:szCs w:val="28"/>
        </w:rPr>
        <w:t>四中</w:t>
      </w:r>
      <w:r>
        <w:rPr>
          <w:rFonts w:hint="eastAsia"/>
          <w:szCs w:val="28"/>
        </w:rPr>
        <w:t>全会以及省委十三届五次全会、市委三届七次会议精神，深入实施全省“八八战略”、“两创”、“两美”和“两富”总战略的关键之年，也是县政府以全面深化改革为动力，以建设美丽云和为目标，走“绿水青山就是金山银山”的生态发展之路，从“小县大城”到“小县名城”、“美丽县城”、“全域景区化”提升转型的关键时期。“十三五”时期云和县将全面加快建设小康社会，全县产业加速转型升级，城乡区域更加协调发展，生态文明建设、创新创业环境和保障改善民生将实现新的突破。</w:t>
      </w:r>
    </w:p>
    <w:p>
      <w:pPr>
        <w:ind w:firstLine="560"/>
      </w:pPr>
      <w:r>
        <w:rPr>
          <w:rFonts w:hint="eastAsia"/>
        </w:rPr>
        <w:t>“十三五”时期（</w:t>
      </w:r>
      <w:r>
        <w:t>2016-2020</w:t>
      </w:r>
      <w:r>
        <w:rPr>
          <w:rFonts w:hint="eastAsia"/>
        </w:rPr>
        <w:t>年）是云和县交通大发展的关键时期，是稳步推进“美丽县城”建设的攻坚时期。道路运输与民生息息相关，对于全面建成小康社会肩负着重要的责任和使命，因此云和交通发展要紧抓机遇，做好规划，为促进云和经济社会发展打下良好的基础。“十三五”规划的编制既要顺应社会经济的发展形势，又要符合国家和省有关重大战略部署，还要抓住道路运输行业发展的主要矛盾。</w:t>
      </w:r>
    </w:p>
    <w:p>
      <w:pPr>
        <w:ind w:firstLine="560"/>
      </w:pPr>
      <w:r>
        <w:rPr>
          <w:rFonts w:hint="eastAsia"/>
        </w:rPr>
        <w:t>根据《丽水市人民政府办公室关于开展全市“十三五”规划编制工作的通知》、《云和县人民政府办公室关于开展全县“十三五”规划编制工作的通知》的要求，结合云和县委、县政府提出的以“小县大城”为核心，建设“美丽云和”、“全域景区化”、“接轨大上海，融入长三角，接轨海西经济圈”的发展战略和我县“十三五”社会、经济发展的需要，基于“十二五”期间道路运输业取得的成果基础，开展《云和县道路运输“十三五”发展规划》的编制工作。</w:t>
      </w:r>
    </w:p>
    <w:p>
      <w:pPr>
        <w:pStyle w:val="3"/>
        <w:spacing w:before="190" w:after="190"/>
      </w:pPr>
      <w:bookmarkStart w:id="4" w:name="_Toc317843269"/>
      <w:bookmarkStart w:id="5" w:name="_Toc340220188"/>
      <w:r>
        <w:t>1.2</w:t>
      </w:r>
      <w:r>
        <w:rPr>
          <w:rFonts w:hint="eastAsia"/>
        </w:rPr>
        <w:t>规划范围、内容与期限</w:t>
      </w:r>
      <w:bookmarkEnd w:id="4"/>
      <w:bookmarkEnd w:id="5"/>
    </w:p>
    <w:p>
      <w:pPr>
        <w:ind w:firstLine="560"/>
      </w:pPr>
      <w:r>
        <w:rPr>
          <w:rFonts w:hint="eastAsia"/>
        </w:rPr>
        <w:t>本次规划范围为云和县全境，包括云和县域范围内的</w:t>
      </w:r>
      <w:r>
        <w:t>4</w:t>
      </w:r>
      <w:r>
        <w:rPr>
          <w:rFonts w:hint="eastAsia"/>
        </w:rPr>
        <w:t>街道（浮云街道、凤凰山街道、元和街道、白龙山街道）、</w:t>
      </w:r>
      <w:r>
        <w:t>3</w:t>
      </w:r>
      <w:r>
        <w:rPr>
          <w:rFonts w:hint="eastAsia"/>
        </w:rPr>
        <w:t>镇</w:t>
      </w:r>
      <w:r>
        <w:t>3</w:t>
      </w:r>
      <w:r>
        <w:rPr>
          <w:rFonts w:hint="eastAsia"/>
        </w:rPr>
        <w:t>乡（其中两个畲族乡），</w:t>
      </w:r>
      <w:r>
        <w:t>168</w:t>
      </w:r>
      <w:r>
        <w:rPr>
          <w:rFonts w:hint="eastAsia"/>
        </w:rPr>
        <w:t>个行政村的道路交通建设及道路运输管理等领域的发展规划。</w:t>
      </w:r>
    </w:p>
    <w:p>
      <w:pPr>
        <w:ind w:firstLine="560"/>
      </w:pPr>
      <w:r>
        <w:rPr>
          <w:rFonts w:hint="eastAsia"/>
        </w:rPr>
        <w:t>本规划主要对云和县道路运输业中道路旅客运输（包括班车、包车及旅游客运、城市公交、出租汽车、汽车租赁）、道路货物运输、客货运输站场、机动车维修、驾培业、信息化及安全管理等相关产业领域的建设项目及发展目标进行梳理，根据交通运输部、省、市交通运输部门要求和云和县实际，进一步细化各子行业的发展目标与要求，并提出相应的保障措施建议。规划期限为</w:t>
      </w:r>
      <w:r>
        <w:t>2016</w:t>
      </w:r>
      <w:r>
        <w:rPr>
          <w:rFonts w:hint="eastAsia"/>
        </w:rPr>
        <w:t>到</w:t>
      </w:r>
      <w:r>
        <w:t>2020</w:t>
      </w:r>
      <w:r>
        <w:rPr>
          <w:rFonts w:hint="eastAsia"/>
        </w:rPr>
        <w:t>年。</w:t>
      </w:r>
    </w:p>
    <w:p>
      <w:pPr>
        <w:pStyle w:val="3"/>
        <w:spacing w:before="190" w:after="190"/>
      </w:pPr>
      <w:bookmarkStart w:id="6" w:name="_Toc340220189"/>
      <w:bookmarkStart w:id="7" w:name="_Toc317843270"/>
      <w:r>
        <w:t>1.3</w:t>
      </w:r>
      <w:r>
        <w:rPr>
          <w:rFonts w:hint="eastAsia"/>
        </w:rPr>
        <w:t>规划依据</w:t>
      </w:r>
      <w:bookmarkEnd w:id="6"/>
      <w:bookmarkEnd w:id="7"/>
    </w:p>
    <w:p>
      <w:pPr>
        <w:ind w:firstLine="560"/>
      </w:pPr>
      <w:r>
        <w:t>1</w:t>
      </w:r>
      <w:r>
        <w:rPr>
          <w:rFonts w:hint="eastAsia"/>
        </w:rPr>
        <w:t>、《国家中长期科学和技术发展规划纲要（</w:t>
      </w:r>
      <w:r>
        <w:t>2006</w:t>
      </w:r>
      <w:r>
        <w:rPr>
          <w:rFonts w:hint="eastAsia"/>
        </w:rPr>
        <w:t>～</w:t>
      </w:r>
      <w:r>
        <w:t>2020</w:t>
      </w:r>
      <w:r>
        <w:rPr>
          <w:rFonts w:hint="eastAsia"/>
        </w:rPr>
        <w:t>年）》；</w:t>
      </w:r>
    </w:p>
    <w:p>
      <w:pPr>
        <w:ind w:firstLine="560"/>
      </w:pPr>
      <w:r>
        <w:t>2</w:t>
      </w:r>
      <w:r>
        <w:rPr>
          <w:rFonts w:hint="eastAsia"/>
        </w:rPr>
        <w:t>、《公路水路交通中长期科技发展规划纲要（</w:t>
      </w:r>
      <w:r>
        <w:t>2006</w:t>
      </w:r>
      <w:r>
        <w:rPr>
          <w:rFonts w:hint="eastAsia"/>
        </w:rPr>
        <w:t>～</w:t>
      </w:r>
      <w:r>
        <w:t>2020</w:t>
      </w:r>
      <w:r>
        <w:rPr>
          <w:rFonts w:hint="eastAsia"/>
        </w:rPr>
        <w:t>年）》；</w:t>
      </w:r>
    </w:p>
    <w:p>
      <w:pPr>
        <w:ind w:firstLine="560"/>
      </w:pPr>
      <w:r>
        <w:rPr>
          <w:rFonts w:hint="eastAsia"/>
        </w:rPr>
        <w:t>3、《云和县域总体规划（</w:t>
      </w:r>
      <w:r>
        <w:t>2006</w:t>
      </w:r>
      <w:r>
        <w:rPr>
          <w:rFonts w:hint="eastAsia"/>
        </w:rPr>
        <w:t>～</w:t>
      </w:r>
      <w:r>
        <w:t>2020</w:t>
      </w:r>
      <w:r>
        <w:rPr>
          <w:rFonts w:hint="eastAsia"/>
        </w:rPr>
        <w:t>年）》；</w:t>
      </w:r>
    </w:p>
    <w:p>
      <w:pPr>
        <w:ind w:firstLine="560"/>
      </w:pPr>
      <w:r>
        <w:rPr>
          <w:rFonts w:hint="eastAsia"/>
        </w:rPr>
        <w:t>4、《云和县土地利用总体规划（2006～2020年）2014年修订版》；</w:t>
      </w:r>
    </w:p>
    <w:p>
      <w:pPr>
        <w:ind w:firstLine="560"/>
      </w:pPr>
      <w:r>
        <w:rPr>
          <w:rFonts w:hint="eastAsia"/>
        </w:rPr>
        <w:t>5、《丽水市生态文明建设纲要（</w:t>
      </w:r>
      <w:r>
        <w:t>2008</w:t>
      </w:r>
      <w:r>
        <w:rPr>
          <w:rFonts w:hint="eastAsia"/>
        </w:rPr>
        <w:t>～</w:t>
      </w:r>
      <w:r>
        <w:t>2020</w:t>
      </w:r>
      <w:r>
        <w:rPr>
          <w:rFonts w:hint="eastAsia"/>
        </w:rPr>
        <w:t>年）》；</w:t>
      </w:r>
    </w:p>
    <w:p>
      <w:pPr>
        <w:ind w:firstLine="560"/>
      </w:pPr>
      <w:r>
        <w:rPr>
          <w:rFonts w:hint="eastAsia"/>
        </w:rPr>
        <w:t>6、《云和县中心城区道路交通专项规划》；</w:t>
      </w:r>
    </w:p>
    <w:p>
      <w:pPr>
        <w:ind w:firstLine="560"/>
      </w:pPr>
      <w:r>
        <w:rPr>
          <w:rFonts w:hint="eastAsia"/>
        </w:rPr>
        <w:t>7、《云和县中心城区土地利用总体规划（</w:t>
      </w:r>
      <w:r>
        <w:t>2011</w:t>
      </w:r>
      <w:r>
        <w:rPr>
          <w:rFonts w:hint="eastAsia"/>
        </w:rPr>
        <w:t>～</w:t>
      </w:r>
      <w:r>
        <w:t>2020</w:t>
      </w:r>
      <w:r>
        <w:rPr>
          <w:rFonts w:hint="eastAsia"/>
        </w:rPr>
        <w:t>年）2014年修订版》；</w:t>
      </w:r>
    </w:p>
    <w:p>
      <w:pPr>
        <w:ind w:firstLine="560"/>
      </w:pPr>
      <w:r>
        <w:rPr>
          <w:rFonts w:hint="eastAsia"/>
        </w:rPr>
        <w:t>8、《云和县旅游产业发展总体规划（</w:t>
      </w:r>
      <w:r>
        <w:t>2015</w:t>
      </w:r>
      <w:r>
        <w:rPr>
          <w:rFonts w:hint="eastAsia"/>
        </w:rPr>
        <w:t>～</w:t>
      </w:r>
      <w:r>
        <w:t>2030</w:t>
      </w:r>
      <w:r>
        <w:rPr>
          <w:rFonts w:hint="eastAsia"/>
        </w:rPr>
        <w:t>年）》；</w:t>
      </w:r>
    </w:p>
    <w:p>
      <w:pPr>
        <w:ind w:firstLine="560"/>
      </w:pPr>
      <w:r>
        <w:rPr>
          <w:rFonts w:hint="eastAsia"/>
        </w:rPr>
        <w:t>9、《云和县道路运输“十二五”发展规划》；</w:t>
      </w:r>
    </w:p>
    <w:p>
      <w:pPr>
        <w:ind w:firstLine="560"/>
      </w:pPr>
      <w:r>
        <w:t>1</w:t>
      </w:r>
      <w:r>
        <w:rPr>
          <w:rFonts w:hint="eastAsia"/>
        </w:rPr>
        <w:t>0、</w:t>
      </w:r>
      <w:bookmarkStart w:id="8" w:name="OLE_LINK4"/>
      <w:r>
        <w:rPr>
          <w:rFonts w:hint="eastAsia"/>
        </w:rPr>
        <w:t>《云和县“十三五</w:t>
      </w:r>
      <w:r>
        <w:t>”</w:t>
      </w:r>
      <w:r>
        <w:rPr>
          <w:rFonts w:hint="eastAsia"/>
        </w:rPr>
        <w:t>综合交通规划（</w:t>
      </w:r>
      <w:r>
        <w:t>2016</w:t>
      </w:r>
      <w:r>
        <w:rPr>
          <w:rFonts w:hint="eastAsia"/>
        </w:rPr>
        <w:t>～</w:t>
      </w:r>
      <w:r>
        <w:t>2020</w:t>
      </w:r>
      <w:r>
        <w:rPr>
          <w:rFonts w:hint="eastAsia"/>
        </w:rPr>
        <w:t>年）》。</w:t>
      </w:r>
      <w:bookmarkEnd w:id="8"/>
      <w:bookmarkStart w:id="9" w:name="_Toc317843271"/>
    </w:p>
    <w:p>
      <w:pPr>
        <w:pStyle w:val="3"/>
        <w:spacing w:before="190" w:after="190"/>
      </w:pPr>
      <w:bookmarkStart w:id="10" w:name="_Toc340220190"/>
      <w:r>
        <w:t>1.4</w:t>
      </w:r>
      <w:r>
        <w:rPr>
          <w:rFonts w:hint="eastAsia"/>
        </w:rPr>
        <w:t>研究思路</w:t>
      </w:r>
      <w:bookmarkEnd w:id="9"/>
      <w:bookmarkEnd w:id="10"/>
    </w:p>
    <w:p>
      <w:pPr>
        <w:ind w:firstLine="560"/>
      </w:pPr>
      <w:r>
        <w:rPr>
          <w:rFonts w:hint="eastAsia"/>
        </w:rPr>
        <w:t>本规划按照“云和县道路运输行业发展需求及定位→明确行业发展思路和目标→提出实现目标的行动计划和政策措施”的研究思路，以“十三五”云和县经济社会发展对交通运输发展要求为切入点，结合云和县道路运输行业发展现状，研究云和县道路运输发展新形势新需求，研究云和县道路运输在全县综合交通运输体系的合理定位，依据政府在道路运输发展中的政府职能定位，提出云和县“</w:t>
      </w:r>
      <w:r>
        <w:t>十三五</w:t>
      </w:r>
      <w:r>
        <w:rPr>
          <w:rFonts w:hint="eastAsia"/>
        </w:rPr>
        <w:t>”</w:t>
      </w:r>
      <w:r>
        <w:t>期间行业发展总体</w:t>
      </w:r>
      <w:r>
        <w:rPr>
          <w:rFonts w:hint="eastAsia"/>
        </w:rPr>
        <w:t>目标</w:t>
      </w:r>
      <w:r>
        <w:t>、工作</w:t>
      </w:r>
      <w:r>
        <w:rPr>
          <w:rFonts w:hint="eastAsia"/>
        </w:rPr>
        <w:t>目标</w:t>
      </w:r>
      <w:r>
        <w:t>和</w:t>
      </w:r>
      <w:r>
        <w:rPr>
          <w:rFonts w:hint="eastAsia"/>
        </w:rPr>
        <w:t>工作重点</w:t>
      </w:r>
      <w:r>
        <w:t>等。</w:t>
      </w:r>
    </w:p>
    <w:p>
      <w:pPr>
        <w:pStyle w:val="21"/>
        <w:spacing w:before="0" w:beforeAutospacing="0" w:after="0" w:afterAutospacing="0" w:line="468" w:lineRule="atLeast"/>
        <w:ind w:firstLine="562"/>
        <w:jc w:val="center"/>
        <w:rPr>
          <w:sz w:val="28"/>
          <w:szCs w:val="28"/>
        </w:rPr>
      </w:pPr>
    </w:p>
    <w:p>
      <w:pPr>
        <w:ind w:firstLine="720"/>
        <w:jc w:val="center"/>
        <w:rPr>
          <w:sz w:val="36"/>
          <w:szCs w:val="36"/>
        </w:rPr>
      </w:pPr>
    </w:p>
    <w:p>
      <w:pPr>
        <w:ind w:firstLine="720"/>
        <w:jc w:val="center"/>
        <w:rPr>
          <w:sz w:val="36"/>
          <w:szCs w:val="36"/>
        </w:rPr>
      </w:pPr>
    </w:p>
    <w:p>
      <w:pPr>
        <w:widowControl/>
        <w:spacing w:line="240" w:lineRule="auto"/>
        <w:ind w:firstLine="0" w:firstLineChars="0"/>
        <w:jc w:val="left"/>
        <w:rPr>
          <w:sz w:val="36"/>
          <w:szCs w:val="36"/>
        </w:rPr>
      </w:pPr>
      <w:r>
        <w:rPr>
          <w:sz w:val="36"/>
          <w:szCs w:val="36"/>
        </w:rPr>
        <w:br w:type="page"/>
      </w:r>
    </w:p>
    <w:p>
      <w:pPr>
        <w:pStyle w:val="2"/>
        <w:spacing w:after="190"/>
      </w:pPr>
      <w:bookmarkStart w:id="11" w:name="_Toc317843272"/>
      <w:bookmarkStart w:id="12" w:name="_Toc340220191"/>
      <w:r>
        <w:rPr>
          <w:rFonts w:hint="eastAsia"/>
        </w:rPr>
        <w:t>第二章“十二五”期间云和县道路运输发展现状</w:t>
      </w:r>
      <w:bookmarkEnd w:id="11"/>
      <w:bookmarkEnd w:id="12"/>
    </w:p>
    <w:p>
      <w:pPr>
        <w:pStyle w:val="3"/>
        <w:spacing w:before="190" w:after="190"/>
      </w:pPr>
      <w:bookmarkStart w:id="13" w:name="_Toc317843273"/>
      <w:bookmarkStart w:id="14" w:name="_Toc340220192"/>
      <w:r>
        <w:t>2.1</w:t>
      </w:r>
      <w:r>
        <w:rPr>
          <w:rFonts w:hint="eastAsia"/>
        </w:rPr>
        <w:t>“十二五”云和县社会经济发展</w:t>
      </w:r>
      <w:bookmarkEnd w:id="13"/>
      <w:r>
        <w:rPr>
          <w:rFonts w:hint="eastAsia"/>
        </w:rPr>
        <w:t>总体情况</w:t>
      </w:r>
      <w:bookmarkEnd w:id="14"/>
    </w:p>
    <w:p>
      <w:pPr>
        <w:ind w:firstLine="560"/>
      </w:pPr>
      <w:r>
        <w:rPr>
          <w:rFonts w:hint="eastAsia"/>
        </w:rPr>
        <w:t>云和县地处浙西南，位于瓯江上游。县域总面积</w:t>
      </w:r>
      <w:r>
        <w:t>984</w:t>
      </w:r>
      <w:r>
        <w:rPr>
          <w:rFonts w:hint="eastAsia"/>
        </w:rPr>
        <w:t>平方公里，辖</w:t>
      </w:r>
      <w:r>
        <w:t>4</w:t>
      </w:r>
      <w:r>
        <w:rPr>
          <w:rFonts w:hint="eastAsia"/>
        </w:rPr>
        <w:t>街道</w:t>
      </w:r>
      <w:r>
        <w:t>3</w:t>
      </w:r>
      <w:r>
        <w:rPr>
          <w:rFonts w:hint="eastAsia"/>
        </w:rPr>
        <w:t>镇</w:t>
      </w:r>
      <w:r>
        <w:t>3</w:t>
      </w:r>
      <w:r>
        <w:rPr>
          <w:rFonts w:hint="eastAsia"/>
        </w:rPr>
        <w:t>乡，</w:t>
      </w:r>
      <w:r>
        <w:t>168</w:t>
      </w:r>
      <w:r>
        <w:rPr>
          <w:rFonts w:hint="eastAsia"/>
        </w:rPr>
        <w:t>个行政村。瓯江自西向东蜿蜒</w:t>
      </w:r>
      <w:r>
        <w:t>52</w:t>
      </w:r>
      <w:r>
        <w:rPr>
          <w:rFonts w:hint="eastAsia"/>
        </w:rPr>
        <w:t>公里穿越云和县城，将县城分成南、北两大部分。云和县区域交通优势明显，</w:t>
      </w:r>
      <w:r>
        <w:t>G25</w:t>
      </w:r>
      <w:r>
        <w:rPr>
          <w:rFonts w:hint="eastAsia"/>
        </w:rPr>
        <w:t>长深高速、</w:t>
      </w:r>
      <w:r>
        <w:t>S34</w:t>
      </w:r>
      <w:r>
        <w:rPr>
          <w:rFonts w:hint="eastAsia"/>
        </w:rPr>
        <w:t>龙丽温高速及</w:t>
      </w:r>
      <w:r>
        <w:t>52</w:t>
      </w:r>
      <w:r>
        <w:rPr>
          <w:rFonts w:hint="eastAsia"/>
        </w:rPr>
        <w:t>、</w:t>
      </w:r>
      <w:r>
        <w:t>53</w:t>
      </w:r>
      <w:r>
        <w:rPr>
          <w:rFonts w:hint="eastAsia"/>
        </w:rPr>
        <w:t>省道穿境而过，距离丽水高铁站约</w:t>
      </w:r>
      <w:r>
        <w:t>30</w:t>
      </w:r>
      <w:r>
        <w:rPr>
          <w:rFonts w:hint="eastAsia"/>
        </w:rPr>
        <w:t>分钟车程，距规划建设中的丽水机场约</w:t>
      </w:r>
      <w:r>
        <w:t>20</w:t>
      </w:r>
      <w:r>
        <w:rPr>
          <w:rFonts w:hint="eastAsia"/>
        </w:rPr>
        <w:t>分钟车程。“十二五”期间，云和县深入贯彻落实省委“两创”总战略和市委“三市并举”战略，围绕生态文明和全面小康两大目标，坚定不移地实施“小县大城”核心战略，加快建设“中国童话休闲旅游城”和“山水童话乡村”的总体规划，经济和社会持续健康快速发展。</w:t>
      </w:r>
    </w:p>
    <w:p>
      <w:pPr>
        <w:ind w:firstLine="560"/>
      </w:pPr>
      <w:r>
        <w:rPr>
          <w:rFonts w:hint="eastAsia"/>
        </w:rPr>
        <w:t>2015年云和实现地区生产总值54.34亿元，年均增长8.7%；人均生产总值48605元，年均增长8.6%；财政总收入7.58亿元，一般公共预算收入4.29亿元，年均分别增长16.1%和14.5%；社会消费品零售总额22.97亿元，年均增长14.7%；外贸出口总额14496万美元，年均增长17.1%；固定资产投资五年累计完成159.72亿元，年均增长15.8％。截至</w:t>
      </w:r>
      <w:r>
        <w:t>201</w:t>
      </w:r>
      <w:r>
        <w:rPr>
          <w:rFonts w:hint="eastAsia"/>
        </w:rPr>
        <w:t>5年末全县公安户籍人口为113271人。其中：农业人口66974人，非农业人口46297人。从图2-1可以看出，这六年时间，云和县社会经济发展呈现一个稳定增长的态势，但自2010年后，年</w:t>
      </w:r>
      <w:r>
        <w:t>GDP</w:t>
      </w:r>
      <w:r>
        <w:rPr>
          <w:rFonts w:hint="eastAsia"/>
        </w:rPr>
        <w:t>增长率有所放缓。经经济结构调整以后，云和县产业结构形成了以第二产业工业为主导，第三产业为辅的产业结构模式。第二产业主要依靠木制玩具、轴承、阀门等特色产业，第三产业的快速增长主要依托生态旅游和商贸物流的迅速发展。</w:t>
      </w:r>
    </w:p>
    <w:p>
      <w:pPr>
        <w:ind w:firstLine="129" w:firstLineChars="46"/>
      </w:pPr>
      <w:r>
        <w:rPr>
          <w:b/>
        </w:rPr>
        <w:drawing>
          <wp:inline distT="0" distB="0" distL="0" distR="0">
            <wp:extent cx="5513705" cy="2606675"/>
            <wp:effectExtent l="0" t="0" r="0" b="9525"/>
            <wp:docPr id="8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513927" cy="2606869"/>
                    </a:xfrm>
                    <a:prstGeom prst="rect">
                      <a:avLst/>
                    </a:prstGeom>
                    <a:noFill/>
                  </pic:spPr>
                </pic:pic>
              </a:graphicData>
            </a:graphic>
          </wp:inline>
        </w:drawing>
      </w:r>
    </w:p>
    <w:p>
      <w:pPr>
        <w:pStyle w:val="60"/>
      </w:pPr>
      <w:r>
        <w:t>图</w:t>
      </w:r>
      <w:r>
        <w:rPr>
          <w:rFonts w:hint="eastAsia"/>
        </w:rPr>
        <w:t>2-1</w:t>
      </w:r>
      <w:r>
        <w:t>2010-2015年云和县GDP趋势图</w:t>
      </w:r>
    </w:p>
    <w:p>
      <w:pPr>
        <w:pStyle w:val="3"/>
        <w:spacing w:before="190" w:after="190"/>
      </w:pPr>
      <w:bookmarkStart w:id="15" w:name="_Toc340220193"/>
      <w:bookmarkStart w:id="16" w:name="_Toc317843274"/>
      <w:r>
        <w:t>2.2</w:t>
      </w:r>
      <w:r>
        <w:rPr>
          <w:rFonts w:hint="eastAsia"/>
        </w:rPr>
        <w:t>“十二五”云和县道路运输业发展总体情况</w:t>
      </w:r>
      <w:bookmarkEnd w:id="15"/>
      <w:bookmarkEnd w:id="16"/>
    </w:p>
    <w:p>
      <w:pPr>
        <w:pStyle w:val="44"/>
        <w:spacing w:before="190" w:after="190"/>
        <w:outlineLvl w:val="2"/>
      </w:pPr>
      <w:bookmarkStart w:id="17" w:name="_Toc317843275"/>
      <w:r>
        <w:t>2.2.1</w:t>
      </w:r>
      <w:r>
        <w:rPr>
          <w:rFonts w:hint="eastAsia"/>
        </w:rPr>
        <w:t>行业发展的规模和结构</w:t>
      </w:r>
      <w:bookmarkEnd w:id="17"/>
    </w:p>
    <w:p>
      <w:pPr>
        <w:ind w:firstLine="0" w:firstLineChars="0"/>
        <w:rPr>
          <w:b/>
        </w:rPr>
      </w:pPr>
      <w:r>
        <w:rPr>
          <w:b/>
        </w:rPr>
        <w:t>1</w:t>
      </w:r>
      <w:r>
        <w:rPr>
          <w:rFonts w:hint="eastAsia"/>
          <w:b/>
        </w:rPr>
        <w:t>.运量完成情况</w:t>
      </w:r>
    </w:p>
    <w:p>
      <w:pPr>
        <w:ind w:firstLine="560"/>
      </w:pPr>
      <w:r>
        <w:rPr>
          <w:rFonts w:hint="eastAsia"/>
        </w:rPr>
        <w:t>随着社会经济不断发展，人民生活水平日益提高，旅客出行量增长较快。但由于综合交通运输体系的不断完善，高速铁路的迅速发展及私家车数量的快速增加等诸多因素，也给云和县道路旅客运输的发展带来了不小的影响和冲击。“十二五”期间，云和县道路运输客运量和客运周转量发展基本保持稳定水平，但也出现了小幅下降。货物运输方面，随着产业经济的转型升级，社会经济水平不断提高，“十二五”期间，云和县货运量和货运周转量逐年提高。</w:t>
      </w:r>
    </w:p>
    <w:p>
      <w:pPr>
        <w:ind w:firstLine="0" w:firstLineChars="0"/>
        <w:rPr>
          <w:b/>
        </w:rPr>
      </w:pPr>
    </w:p>
    <w:p>
      <w:pPr>
        <w:ind w:firstLine="0" w:firstLineChars="0"/>
      </w:pPr>
      <w:r>
        <w:rPr>
          <w:rFonts w:hint="eastAsia"/>
          <w:b/>
        </w:rPr>
        <w:t>（</w:t>
      </w:r>
      <w:r>
        <w:rPr>
          <w:b/>
        </w:rPr>
        <w:t>1</w:t>
      </w:r>
      <w:r>
        <w:rPr>
          <w:rFonts w:hint="eastAsia"/>
          <w:b/>
        </w:rPr>
        <w:t>）客运量</w:t>
      </w:r>
    </w:p>
    <w:p>
      <w:pPr>
        <w:ind w:firstLine="560"/>
      </w:pPr>
      <w:r>
        <w:rPr>
          <w:rFonts w:hint="eastAsia"/>
        </w:rPr>
        <w:t>“十二五”期间，云和县道路运输营业性客运量统计如表</w:t>
      </w:r>
      <w:r>
        <w:t>2-1</w:t>
      </w:r>
      <w:r>
        <w:rPr>
          <w:rFonts w:hint="eastAsia"/>
        </w:rPr>
        <w:t>、图2-2、图2-3所示，</w:t>
      </w:r>
      <w:r>
        <w:t>201</w:t>
      </w:r>
      <w:r>
        <w:rPr>
          <w:rFonts w:hint="eastAsia"/>
        </w:rPr>
        <w:t>1年，道路运输旅客运量为223万人，截止到</w:t>
      </w:r>
      <w:r>
        <w:t>201</w:t>
      </w:r>
      <w:r>
        <w:rPr>
          <w:rFonts w:hint="eastAsia"/>
        </w:rPr>
        <w:t>5年底客运量减少为173万人，减少了50万人，同比降低了</w:t>
      </w:r>
      <w:r>
        <w:t>2</w:t>
      </w:r>
      <w:r>
        <w:rPr>
          <w:rFonts w:hint="eastAsia"/>
        </w:rPr>
        <w:t>2.42</w:t>
      </w:r>
      <w:r>
        <w:t>%</w:t>
      </w:r>
      <w:r>
        <w:rPr>
          <w:rFonts w:hint="eastAsia"/>
        </w:rPr>
        <w:t>。2011-</w:t>
      </w:r>
      <w:r>
        <w:t>201</w:t>
      </w:r>
      <w:r>
        <w:rPr>
          <w:rFonts w:hint="eastAsia"/>
        </w:rPr>
        <w:t>3年云和县旅客周转量呈现稳定增长的态势，但到了2015年底，旅客周转量出现了下滑，减少了790万人公里，较2011年降低了</w:t>
      </w:r>
      <w:r>
        <w:t>11.</w:t>
      </w:r>
      <w:r>
        <w:rPr>
          <w:rFonts w:hint="eastAsia"/>
        </w:rPr>
        <w:t>2</w:t>
      </w:r>
      <w:r>
        <w:t>%</w:t>
      </w:r>
      <w:r>
        <w:rPr>
          <w:rFonts w:hint="eastAsia"/>
        </w:rPr>
        <w:t>，较上年下降了1.59个百分点，云和县道路运输客运量及客运周转量在2011-2015年间都出现了小幅下降。</w:t>
      </w:r>
    </w:p>
    <w:p>
      <w:pPr>
        <w:pStyle w:val="60"/>
      </w:pPr>
      <w:r>
        <w:rPr>
          <w:rFonts w:hint="eastAsia"/>
        </w:rPr>
        <w:t>表</w:t>
      </w:r>
      <w:r>
        <w:t>2-1201</w:t>
      </w:r>
      <w:r>
        <w:rPr>
          <w:rFonts w:hint="eastAsia"/>
        </w:rPr>
        <w:t>1</w:t>
      </w:r>
      <w:r>
        <w:t>-201</w:t>
      </w:r>
      <w:r>
        <w:rPr>
          <w:rFonts w:hint="eastAsia"/>
        </w:rPr>
        <w:t>5年云和县道路客运量及周转量统计表</w:t>
      </w:r>
    </w:p>
    <w:tbl>
      <w:tblPr>
        <w:tblStyle w:val="23"/>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126"/>
        <w:gridCol w:w="1560"/>
        <w:gridCol w:w="216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280" w:type="dxa"/>
            <w:shd w:val="clear" w:color="auto" w:fill="D8D8D8" w:themeFill="background1" w:themeFillShade="D9"/>
            <w:vAlign w:val="center"/>
          </w:tcPr>
          <w:p>
            <w:pPr>
              <w:pStyle w:val="41"/>
              <w:rPr>
                <w:b/>
                <w:bCs/>
              </w:rPr>
            </w:pPr>
            <w:r>
              <w:rPr>
                <w:rFonts w:hint="eastAsia"/>
                <w:b/>
                <w:bCs/>
              </w:rPr>
              <w:t>年份</w:t>
            </w:r>
          </w:p>
        </w:tc>
        <w:tc>
          <w:tcPr>
            <w:tcW w:w="2126" w:type="dxa"/>
            <w:shd w:val="clear" w:color="auto" w:fill="D8D8D8" w:themeFill="background1" w:themeFillShade="D9"/>
            <w:vAlign w:val="center"/>
          </w:tcPr>
          <w:p>
            <w:pPr>
              <w:pStyle w:val="41"/>
              <w:rPr>
                <w:b/>
                <w:bCs/>
              </w:rPr>
            </w:pPr>
            <w:r>
              <w:rPr>
                <w:rFonts w:hint="eastAsia"/>
                <w:b/>
                <w:bCs/>
              </w:rPr>
              <w:t>旅客运输量（万人）</w:t>
            </w:r>
          </w:p>
        </w:tc>
        <w:tc>
          <w:tcPr>
            <w:tcW w:w="1560" w:type="dxa"/>
            <w:shd w:val="clear" w:color="auto" w:fill="D8D8D8" w:themeFill="background1" w:themeFillShade="D9"/>
            <w:vAlign w:val="center"/>
          </w:tcPr>
          <w:p>
            <w:pPr>
              <w:pStyle w:val="41"/>
              <w:rPr>
                <w:b/>
                <w:bCs/>
              </w:rPr>
            </w:pPr>
            <w:r>
              <w:rPr>
                <w:rFonts w:hint="eastAsia"/>
                <w:b/>
                <w:bCs/>
              </w:rPr>
              <w:t>旅客周转量</w:t>
            </w:r>
          </w:p>
          <w:p>
            <w:pPr>
              <w:pStyle w:val="41"/>
              <w:rPr>
                <w:b/>
                <w:bCs/>
              </w:rPr>
            </w:pPr>
            <w:r>
              <w:rPr>
                <w:rFonts w:hint="eastAsia"/>
                <w:b/>
                <w:bCs/>
              </w:rPr>
              <w:t>（万人公里）</w:t>
            </w:r>
          </w:p>
        </w:tc>
        <w:tc>
          <w:tcPr>
            <w:tcW w:w="2164" w:type="dxa"/>
            <w:shd w:val="clear" w:color="auto" w:fill="D8D8D8" w:themeFill="background1" w:themeFillShade="D9"/>
            <w:vAlign w:val="center"/>
          </w:tcPr>
          <w:p>
            <w:pPr>
              <w:pStyle w:val="41"/>
              <w:rPr>
                <w:b/>
                <w:bCs/>
              </w:rPr>
            </w:pPr>
            <w:r>
              <w:rPr>
                <w:rFonts w:hint="eastAsia"/>
                <w:b/>
                <w:bCs/>
              </w:rPr>
              <w:t>旅客运输量增长率（</w:t>
            </w:r>
            <w:r>
              <w:rPr>
                <w:b/>
                <w:bCs/>
              </w:rPr>
              <w:t>%</w:t>
            </w:r>
            <w:r>
              <w:rPr>
                <w:rFonts w:hint="eastAsia"/>
                <w:b/>
                <w:bCs/>
              </w:rPr>
              <w:t>）</w:t>
            </w:r>
          </w:p>
        </w:tc>
        <w:tc>
          <w:tcPr>
            <w:tcW w:w="1418" w:type="dxa"/>
            <w:shd w:val="clear" w:color="auto" w:fill="D8D8D8" w:themeFill="background1" w:themeFillShade="D9"/>
            <w:vAlign w:val="center"/>
          </w:tcPr>
          <w:p>
            <w:pPr>
              <w:pStyle w:val="41"/>
              <w:rPr>
                <w:b/>
                <w:bCs/>
              </w:rPr>
            </w:pPr>
            <w:r>
              <w:rPr>
                <w:rFonts w:hint="eastAsia"/>
                <w:b/>
                <w:bCs/>
              </w:rPr>
              <w:t>旅客周转量增长率（</w:t>
            </w:r>
            <w:r>
              <w:rPr>
                <w:b/>
                <w:bCs/>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80" w:type="dxa"/>
          </w:tcPr>
          <w:p>
            <w:pPr>
              <w:pStyle w:val="41"/>
              <w:rPr>
                <w:bCs/>
              </w:rPr>
            </w:pPr>
            <w:r>
              <w:rPr>
                <w:bCs/>
              </w:rPr>
              <w:t>201</w:t>
            </w:r>
            <w:r>
              <w:rPr>
                <w:rFonts w:hint="eastAsia"/>
                <w:bCs/>
              </w:rPr>
              <w:t>1</w:t>
            </w:r>
          </w:p>
        </w:tc>
        <w:tc>
          <w:tcPr>
            <w:tcW w:w="2126" w:type="dxa"/>
            <w:vAlign w:val="center"/>
          </w:tcPr>
          <w:p>
            <w:pPr>
              <w:pStyle w:val="41"/>
              <w:rPr>
                <w:bCs/>
              </w:rPr>
            </w:pPr>
            <w:r>
              <w:t>223</w:t>
            </w:r>
          </w:p>
        </w:tc>
        <w:tc>
          <w:tcPr>
            <w:tcW w:w="1560" w:type="dxa"/>
          </w:tcPr>
          <w:p>
            <w:pPr>
              <w:pStyle w:val="41"/>
              <w:rPr>
                <w:bCs/>
              </w:rPr>
            </w:pPr>
            <w:r>
              <w:t>7050</w:t>
            </w:r>
          </w:p>
        </w:tc>
        <w:tc>
          <w:tcPr>
            <w:tcW w:w="2164" w:type="dxa"/>
          </w:tcPr>
          <w:p>
            <w:pPr>
              <w:pStyle w:val="41"/>
              <w:rPr>
                <w:bCs/>
              </w:rPr>
            </w:pPr>
            <w:r>
              <w:rPr>
                <w:rFonts w:hint="eastAsia"/>
                <w:bCs/>
              </w:rPr>
              <w:t>－</w:t>
            </w:r>
          </w:p>
        </w:tc>
        <w:tc>
          <w:tcPr>
            <w:tcW w:w="1418" w:type="dxa"/>
          </w:tcPr>
          <w:p>
            <w:pPr>
              <w:pStyle w:val="41"/>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80" w:type="dxa"/>
          </w:tcPr>
          <w:p>
            <w:pPr>
              <w:pStyle w:val="41"/>
              <w:rPr>
                <w:bCs/>
              </w:rPr>
            </w:pPr>
            <w:r>
              <w:rPr>
                <w:bCs/>
              </w:rPr>
              <w:t>201</w:t>
            </w:r>
            <w:r>
              <w:rPr>
                <w:rFonts w:hint="eastAsia"/>
                <w:bCs/>
              </w:rPr>
              <w:t>2</w:t>
            </w:r>
          </w:p>
        </w:tc>
        <w:tc>
          <w:tcPr>
            <w:tcW w:w="2126" w:type="dxa"/>
            <w:vAlign w:val="center"/>
          </w:tcPr>
          <w:p>
            <w:pPr>
              <w:pStyle w:val="41"/>
              <w:rPr>
                <w:bCs/>
              </w:rPr>
            </w:pPr>
            <w:r>
              <w:t>223</w:t>
            </w:r>
          </w:p>
        </w:tc>
        <w:tc>
          <w:tcPr>
            <w:tcW w:w="1560" w:type="dxa"/>
          </w:tcPr>
          <w:p>
            <w:pPr>
              <w:pStyle w:val="41"/>
              <w:rPr>
                <w:bCs/>
              </w:rPr>
            </w:pPr>
            <w:r>
              <w:t>7080</w:t>
            </w:r>
          </w:p>
        </w:tc>
        <w:tc>
          <w:tcPr>
            <w:tcW w:w="2164" w:type="dxa"/>
          </w:tcPr>
          <w:p>
            <w:pPr>
              <w:pStyle w:val="41"/>
              <w:rPr>
                <w:bCs/>
              </w:rPr>
            </w:pPr>
            <w:r>
              <w:rPr>
                <w:bCs/>
              </w:rPr>
              <w:t>0.00</w:t>
            </w:r>
          </w:p>
        </w:tc>
        <w:tc>
          <w:tcPr>
            <w:tcW w:w="1418" w:type="dxa"/>
          </w:tcPr>
          <w:p>
            <w:pPr>
              <w:pStyle w:val="41"/>
              <w:rPr>
                <w:bCs/>
              </w:rPr>
            </w:pPr>
            <w:r>
              <w:rPr>
                <w:rFonts w:hint="eastAsia"/>
                <w:bCs/>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80" w:type="dxa"/>
          </w:tcPr>
          <w:p>
            <w:pPr>
              <w:pStyle w:val="41"/>
              <w:rPr>
                <w:bCs/>
              </w:rPr>
            </w:pPr>
            <w:r>
              <w:rPr>
                <w:bCs/>
              </w:rPr>
              <w:t>201</w:t>
            </w:r>
            <w:r>
              <w:rPr>
                <w:rFonts w:hint="eastAsia"/>
                <w:bCs/>
              </w:rPr>
              <w:t>3</w:t>
            </w:r>
          </w:p>
        </w:tc>
        <w:tc>
          <w:tcPr>
            <w:tcW w:w="2126" w:type="dxa"/>
            <w:vAlign w:val="center"/>
          </w:tcPr>
          <w:p>
            <w:pPr>
              <w:pStyle w:val="41"/>
              <w:rPr>
                <w:bCs/>
              </w:rPr>
            </w:pPr>
            <w:r>
              <w:t>223</w:t>
            </w:r>
          </w:p>
        </w:tc>
        <w:tc>
          <w:tcPr>
            <w:tcW w:w="1560" w:type="dxa"/>
          </w:tcPr>
          <w:p>
            <w:pPr>
              <w:pStyle w:val="41"/>
              <w:rPr>
                <w:bCs/>
              </w:rPr>
            </w:pPr>
            <w:r>
              <w:t>7181</w:t>
            </w:r>
          </w:p>
        </w:tc>
        <w:tc>
          <w:tcPr>
            <w:tcW w:w="2164" w:type="dxa"/>
          </w:tcPr>
          <w:p>
            <w:pPr>
              <w:pStyle w:val="41"/>
              <w:rPr>
                <w:bCs/>
              </w:rPr>
            </w:pPr>
            <w:r>
              <w:rPr>
                <w:rFonts w:hint="eastAsia"/>
                <w:bCs/>
              </w:rPr>
              <w:t>0.00</w:t>
            </w:r>
          </w:p>
        </w:tc>
        <w:tc>
          <w:tcPr>
            <w:tcW w:w="1418" w:type="dxa"/>
          </w:tcPr>
          <w:p>
            <w:pPr>
              <w:pStyle w:val="41"/>
              <w:rPr>
                <w:bCs/>
              </w:rPr>
            </w:pPr>
            <w:r>
              <w:rPr>
                <w:rFonts w:hint="eastAsia"/>
                <w:bCs/>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80" w:type="dxa"/>
          </w:tcPr>
          <w:p>
            <w:pPr>
              <w:pStyle w:val="41"/>
              <w:rPr>
                <w:bCs/>
              </w:rPr>
            </w:pPr>
            <w:r>
              <w:rPr>
                <w:rFonts w:hint="eastAsia"/>
                <w:bCs/>
              </w:rPr>
              <w:t>2014</w:t>
            </w:r>
          </w:p>
        </w:tc>
        <w:tc>
          <w:tcPr>
            <w:tcW w:w="2126" w:type="dxa"/>
            <w:vAlign w:val="center"/>
          </w:tcPr>
          <w:p>
            <w:pPr>
              <w:pStyle w:val="41"/>
              <w:rPr>
                <w:bCs/>
              </w:rPr>
            </w:pPr>
            <w:r>
              <w:t>175</w:t>
            </w:r>
          </w:p>
        </w:tc>
        <w:tc>
          <w:tcPr>
            <w:tcW w:w="1560" w:type="dxa"/>
          </w:tcPr>
          <w:p>
            <w:pPr>
              <w:pStyle w:val="41"/>
              <w:rPr>
                <w:bCs/>
              </w:rPr>
            </w:pPr>
            <w:r>
              <w:t>6361</w:t>
            </w:r>
          </w:p>
        </w:tc>
        <w:tc>
          <w:tcPr>
            <w:tcW w:w="2164" w:type="dxa"/>
          </w:tcPr>
          <w:p>
            <w:pPr>
              <w:pStyle w:val="41"/>
              <w:rPr>
                <w:bCs/>
              </w:rPr>
            </w:pPr>
            <w:r>
              <w:rPr>
                <w:rFonts w:hint="eastAsia"/>
                <w:bCs/>
              </w:rPr>
              <w:t>－21.52</w:t>
            </w:r>
          </w:p>
        </w:tc>
        <w:tc>
          <w:tcPr>
            <w:tcW w:w="1418" w:type="dxa"/>
          </w:tcPr>
          <w:p>
            <w:pPr>
              <w:pStyle w:val="41"/>
              <w:rPr>
                <w:bCs/>
              </w:rPr>
            </w:pPr>
            <w:r>
              <w:rPr>
                <w:rFonts w:hint="eastAsia"/>
                <w:bCs/>
              </w:rPr>
              <w:t>-11.42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80" w:type="dxa"/>
          </w:tcPr>
          <w:p>
            <w:pPr>
              <w:pStyle w:val="41"/>
              <w:rPr>
                <w:bCs/>
              </w:rPr>
            </w:pPr>
            <w:r>
              <w:rPr>
                <w:rFonts w:hint="eastAsia"/>
                <w:bCs/>
              </w:rPr>
              <w:t>2015</w:t>
            </w:r>
          </w:p>
        </w:tc>
        <w:tc>
          <w:tcPr>
            <w:tcW w:w="2126" w:type="dxa"/>
            <w:vAlign w:val="center"/>
          </w:tcPr>
          <w:p>
            <w:pPr>
              <w:pStyle w:val="41"/>
            </w:pPr>
            <w:r>
              <w:rPr>
                <w:rFonts w:hint="eastAsia"/>
              </w:rPr>
              <w:t>173</w:t>
            </w:r>
          </w:p>
        </w:tc>
        <w:tc>
          <w:tcPr>
            <w:tcW w:w="1560" w:type="dxa"/>
          </w:tcPr>
          <w:p>
            <w:pPr>
              <w:pStyle w:val="41"/>
            </w:pPr>
            <w:r>
              <w:rPr>
                <w:rFonts w:hint="eastAsia"/>
              </w:rPr>
              <w:t>6260</w:t>
            </w:r>
          </w:p>
        </w:tc>
        <w:tc>
          <w:tcPr>
            <w:tcW w:w="2164" w:type="dxa"/>
          </w:tcPr>
          <w:p>
            <w:pPr>
              <w:pStyle w:val="41"/>
              <w:rPr>
                <w:bCs/>
              </w:rPr>
            </w:pPr>
            <w:r>
              <w:rPr>
                <w:rFonts w:hint="eastAsia"/>
                <w:bCs/>
              </w:rPr>
              <w:t>-1.59</w:t>
            </w:r>
          </w:p>
        </w:tc>
        <w:tc>
          <w:tcPr>
            <w:tcW w:w="1418" w:type="dxa"/>
          </w:tcPr>
          <w:p>
            <w:pPr>
              <w:pStyle w:val="41"/>
              <w:rPr>
                <w:bCs/>
              </w:rPr>
            </w:pPr>
            <w:r>
              <w:rPr>
                <w:rFonts w:hint="eastAsia"/>
                <w:bCs/>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0" w:type="dxa"/>
          </w:tcPr>
          <w:p>
            <w:pPr>
              <w:pStyle w:val="41"/>
              <w:rPr>
                <w:bCs/>
              </w:rPr>
            </w:pPr>
            <w:r>
              <w:rPr>
                <w:rFonts w:hint="eastAsia"/>
                <w:bCs/>
              </w:rPr>
              <w:t>合计</w:t>
            </w:r>
          </w:p>
        </w:tc>
        <w:tc>
          <w:tcPr>
            <w:tcW w:w="2126" w:type="dxa"/>
          </w:tcPr>
          <w:p>
            <w:pPr>
              <w:pStyle w:val="41"/>
              <w:rPr>
                <w:bCs/>
              </w:rPr>
            </w:pPr>
            <w:r>
              <w:rPr>
                <w:rFonts w:hint="eastAsia"/>
                <w:bCs/>
              </w:rPr>
              <w:t>1017</w:t>
            </w:r>
          </w:p>
        </w:tc>
        <w:tc>
          <w:tcPr>
            <w:tcW w:w="1560" w:type="dxa"/>
          </w:tcPr>
          <w:p>
            <w:pPr>
              <w:pStyle w:val="41"/>
              <w:rPr>
                <w:bCs/>
              </w:rPr>
            </w:pPr>
            <w:r>
              <w:rPr>
                <w:rFonts w:hint="eastAsia"/>
                <w:bCs/>
              </w:rPr>
              <w:t>33932</w:t>
            </w:r>
          </w:p>
        </w:tc>
        <w:tc>
          <w:tcPr>
            <w:tcW w:w="2164" w:type="dxa"/>
          </w:tcPr>
          <w:p>
            <w:pPr>
              <w:pStyle w:val="41"/>
              <w:rPr>
                <w:bCs/>
              </w:rPr>
            </w:pPr>
            <w:r>
              <w:rPr>
                <w:rFonts w:hint="eastAsia"/>
                <w:bCs/>
              </w:rPr>
              <w:t>－</w:t>
            </w:r>
          </w:p>
        </w:tc>
        <w:tc>
          <w:tcPr>
            <w:tcW w:w="1418" w:type="dxa"/>
          </w:tcPr>
          <w:p>
            <w:pPr>
              <w:pStyle w:val="41"/>
              <w:rPr>
                <w:bCs/>
              </w:rPr>
            </w:pPr>
            <w:r>
              <w:rPr>
                <w:rFonts w:hint="eastAsia"/>
                <w:bCs/>
              </w:rPr>
              <w:t>－</w:t>
            </w:r>
          </w:p>
        </w:tc>
      </w:tr>
    </w:tbl>
    <w:p>
      <w:pPr>
        <w:pStyle w:val="22"/>
        <w:spacing w:line="360" w:lineRule="auto"/>
        <w:ind w:firstLine="360"/>
        <w:jc w:val="both"/>
        <w:rPr>
          <w:rFonts w:ascii="宋体" w:hAnsi="宋体" w:eastAsia="宋体" w:cs="ATC-6b636587"/>
          <w:sz w:val="18"/>
          <w:szCs w:val="18"/>
        </w:rPr>
      </w:pPr>
      <w:r>
        <w:rPr>
          <w:rFonts w:hint="eastAsia" w:ascii="宋体" w:hAnsi="宋体" w:eastAsia="宋体" w:cs="ATC-6b636587"/>
          <w:sz w:val="18"/>
          <w:szCs w:val="18"/>
        </w:rPr>
        <w:t>注：数据来源于《云和县国民经济和社会发展统计公报》</w:t>
      </w:r>
    </w:p>
    <w:p>
      <w:pPr>
        <w:pStyle w:val="22"/>
        <w:spacing w:line="360" w:lineRule="auto"/>
        <w:ind w:right="-423" w:rightChars="-151" w:firstLine="0" w:firstLineChars="0"/>
        <w:jc w:val="both"/>
        <w:rPr>
          <w:rFonts w:ascii="宋体" w:hAnsi="宋体" w:eastAsia="宋体" w:cs="ATC-6b636587"/>
          <w:sz w:val="18"/>
          <w:szCs w:val="18"/>
        </w:rPr>
      </w:pPr>
      <w:r>
        <w:rPr>
          <w:lang w:val="en-US"/>
        </w:rPr>
        <w:drawing>
          <wp:inline distT="0" distB="0" distL="0" distR="0">
            <wp:extent cx="2804160" cy="1577340"/>
            <wp:effectExtent l="0" t="0" r="15240" b="381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lang w:val="en-US"/>
        </w:rPr>
        <w:drawing>
          <wp:inline distT="0" distB="0" distL="0" distR="0">
            <wp:extent cx="2926080" cy="1562100"/>
            <wp:effectExtent l="0" t="0" r="762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60"/>
        <w:ind w:left="-283" w:leftChars="-101" w:right="-518" w:rightChars="-185"/>
      </w:pPr>
      <w:r>
        <w:rPr>
          <w:rFonts w:hint="eastAsia"/>
        </w:rPr>
        <w:t>图2-22011-2015年云和县道路客运量图2-32011-2015年云和县道路客运周转量</w:t>
      </w:r>
    </w:p>
    <w:p>
      <w:pPr>
        <w:ind w:firstLine="0" w:firstLineChars="0"/>
        <w:rPr>
          <w:b/>
        </w:rPr>
      </w:pPr>
    </w:p>
    <w:p>
      <w:pPr>
        <w:ind w:firstLine="0" w:firstLineChars="0"/>
        <w:rPr>
          <w:b/>
        </w:rPr>
      </w:pPr>
    </w:p>
    <w:p>
      <w:pPr>
        <w:ind w:firstLine="0" w:firstLineChars="0"/>
        <w:rPr>
          <w:b/>
        </w:rPr>
      </w:pPr>
      <w:r>
        <w:rPr>
          <w:rFonts w:hint="eastAsia"/>
          <w:b/>
        </w:rPr>
        <w:t>（</w:t>
      </w:r>
      <w:r>
        <w:rPr>
          <w:b/>
        </w:rPr>
        <w:t>2</w:t>
      </w:r>
      <w:r>
        <w:rPr>
          <w:rFonts w:hint="eastAsia"/>
          <w:b/>
        </w:rPr>
        <w:t>）货运量</w:t>
      </w:r>
    </w:p>
    <w:p>
      <w:pPr>
        <w:ind w:firstLine="0" w:firstLineChars="0"/>
      </w:pPr>
      <w:r>
        <w:rPr>
          <w:rFonts w:hint="eastAsia"/>
        </w:rPr>
        <w:t>如表</w:t>
      </w:r>
      <w:r>
        <w:t>2-2</w:t>
      </w:r>
      <w:r>
        <w:rPr>
          <w:rFonts w:hint="eastAsia"/>
        </w:rPr>
        <w:t>、图2-4、2-5所示，</w:t>
      </w:r>
      <w:r>
        <w:t>2011-201</w:t>
      </w:r>
      <w:r>
        <w:rPr>
          <w:rFonts w:hint="eastAsia"/>
        </w:rPr>
        <w:t>5年云和县货运量和货运周转量都呈现逐年增长的态势。货物运输量由</w:t>
      </w:r>
      <w:r>
        <w:t>2011</w:t>
      </w:r>
      <w:r>
        <w:rPr>
          <w:rFonts w:hint="eastAsia"/>
        </w:rPr>
        <w:t>年的</w:t>
      </w:r>
      <w:r>
        <w:t>144</w:t>
      </w:r>
      <w:r>
        <w:rPr>
          <w:rFonts w:hint="eastAsia"/>
        </w:rPr>
        <w:t>万吨增加到</w:t>
      </w:r>
      <w:r>
        <w:t>201</w:t>
      </w:r>
      <w:r>
        <w:rPr>
          <w:rFonts w:hint="eastAsia"/>
        </w:rPr>
        <w:t>5年的</w:t>
      </w:r>
      <w:r>
        <w:t>18</w:t>
      </w:r>
      <w:r>
        <w:rPr>
          <w:rFonts w:hint="eastAsia"/>
        </w:rPr>
        <w:t>6万吨，年平均增长率为</w:t>
      </w:r>
      <w:r>
        <w:t>6.</w:t>
      </w:r>
      <w:r>
        <w:rPr>
          <w:rFonts w:hint="eastAsia"/>
        </w:rPr>
        <w:t>7</w:t>
      </w:r>
      <w:r>
        <w:t>%</w:t>
      </w:r>
      <w:r>
        <w:rPr>
          <w:rFonts w:hint="eastAsia"/>
        </w:rPr>
        <w:t>；货物周转量由</w:t>
      </w:r>
      <w:r>
        <w:t>2011</w:t>
      </w:r>
      <w:r>
        <w:rPr>
          <w:rFonts w:hint="eastAsia"/>
        </w:rPr>
        <w:t>年的</w:t>
      </w:r>
      <w:r>
        <w:t>13315</w:t>
      </w:r>
      <w:r>
        <w:rPr>
          <w:rFonts w:hint="eastAsia"/>
        </w:rPr>
        <w:t>万吨公里增加到</w:t>
      </w:r>
      <w:r>
        <w:t>201</w:t>
      </w:r>
      <w:r>
        <w:rPr>
          <w:rFonts w:hint="eastAsia"/>
        </w:rPr>
        <w:t>5年的</w:t>
      </w:r>
      <w:r>
        <w:t>1</w:t>
      </w:r>
      <w:r>
        <w:rPr>
          <w:rFonts w:hint="eastAsia"/>
        </w:rPr>
        <w:t>6810万吨公里，货物周转量年均增长率为6.24</w:t>
      </w:r>
      <w:r>
        <w:t>%</w:t>
      </w:r>
      <w:r>
        <w:rPr>
          <w:rFonts w:hint="eastAsia"/>
        </w:rPr>
        <w:t>。发展现代物流业已经成为云和县稳增长、促转型的重要举措。云和县通过大力发展物流业，提高了全县货物流通效率，增强全县经济活力、加快产业结构转型，促使货运量及货运周转量在“十二五”期间保持稳定增长。</w:t>
      </w:r>
    </w:p>
    <w:p>
      <w:pPr>
        <w:pStyle w:val="60"/>
      </w:pPr>
      <w:r>
        <w:rPr>
          <w:rFonts w:hint="eastAsia"/>
        </w:rPr>
        <w:t>表</w:t>
      </w:r>
      <w:r>
        <w:t>2-2201</w:t>
      </w:r>
      <w:r>
        <w:rPr>
          <w:rFonts w:hint="eastAsia"/>
        </w:rPr>
        <w:t>1</w:t>
      </w:r>
      <w:r>
        <w:t>-201</w:t>
      </w:r>
      <w:r>
        <w:rPr>
          <w:rFonts w:hint="eastAsia"/>
        </w:rPr>
        <w:t>5年云和县道路货运量及周转量统计表</w:t>
      </w:r>
    </w:p>
    <w:tbl>
      <w:tblPr>
        <w:tblStyle w:val="23"/>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750"/>
        <w:gridCol w:w="1751"/>
        <w:gridCol w:w="1750"/>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93" w:type="dxa"/>
            <w:shd w:val="clear" w:color="auto" w:fill="D8D8D8" w:themeFill="background1" w:themeFillShade="D9"/>
            <w:vAlign w:val="center"/>
          </w:tcPr>
          <w:p>
            <w:pPr>
              <w:pStyle w:val="41"/>
              <w:rPr>
                <w:b/>
                <w:bCs/>
              </w:rPr>
            </w:pPr>
            <w:r>
              <w:rPr>
                <w:rFonts w:hint="eastAsia"/>
                <w:b/>
                <w:bCs/>
              </w:rPr>
              <w:t>年份</w:t>
            </w:r>
          </w:p>
        </w:tc>
        <w:tc>
          <w:tcPr>
            <w:tcW w:w="1750" w:type="dxa"/>
            <w:shd w:val="clear" w:color="auto" w:fill="D8D8D8" w:themeFill="background1" w:themeFillShade="D9"/>
            <w:vAlign w:val="center"/>
          </w:tcPr>
          <w:p>
            <w:pPr>
              <w:pStyle w:val="41"/>
              <w:rPr>
                <w:b/>
                <w:bCs/>
              </w:rPr>
            </w:pPr>
            <w:r>
              <w:rPr>
                <w:rFonts w:hint="eastAsia"/>
                <w:b/>
                <w:bCs/>
              </w:rPr>
              <w:t>货物运输量</w:t>
            </w:r>
          </w:p>
          <w:p>
            <w:pPr>
              <w:pStyle w:val="41"/>
              <w:rPr>
                <w:b/>
                <w:bCs/>
              </w:rPr>
            </w:pPr>
            <w:r>
              <w:rPr>
                <w:rFonts w:hint="eastAsia"/>
                <w:b/>
                <w:bCs/>
              </w:rPr>
              <w:t>（万吨）</w:t>
            </w:r>
          </w:p>
        </w:tc>
        <w:tc>
          <w:tcPr>
            <w:tcW w:w="1751" w:type="dxa"/>
            <w:shd w:val="clear" w:color="auto" w:fill="D8D8D8" w:themeFill="background1" w:themeFillShade="D9"/>
            <w:vAlign w:val="center"/>
          </w:tcPr>
          <w:p>
            <w:pPr>
              <w:pStyle w:val="41"/>
              <w:rPr>
                <w:b/>
                <w:bCs/>
              </w:rPr>
            </w:pPr>
            <w:r>
              <w:rPr>
                <w:rFonts w:hint="eastAsia"/>
                <w:b/>
                <w:bCs/>
              </w:rPr>
              <w:t>货物周转量</w:t>
            </w:r>
          </w:p>
          <w:p>
            <w:pPr>
              <w:pStyle w:val="41"/>
              <w:rPr>
                <w:b/>
                <w:bCs/>
              </w:rPr>
            </w:pPr>
            <w:r>
              <w:rPr>
                <w:rFonts w:hint="eastAsia"/>
                <w:b/>
                <w:bCs/>
              </w:rPr>
              <w:t>（万吨公里）</w:t>
            </w:r>
          </w:p>
        </w:tc>
        <w:tc>
          <w:tcPr>
            <w:tcW w:w="1750" w:type="dxa"/>
            <w:shd w:val="clear" w:color="auto" w:fill="D8D8D8" w:themeFill="background1" w:themeFillShade="D9"/>
            <w:vAlign w:val="center"/>
          </w:tcPr>
          <w:p>
            <w:pPr>
              <w:pStyle w:val="41"/>
              <w:rPr>
                <w:b/>
                <w:bCs/>
              </w:rPr>
            </w:pPr>
            <w:r>
              <w:rPr>
                <w:rFonts w:hint="eastAsia"/>
                <w:b/>
                <w:bCs/>
              </w:rPr>
              <w:t>货物运输量</w:t>
            </w:r>
          </w:p>
          <w:p>
            <w:pPr>
              <w:pStyle w:val="41"/>
              <w:rPr>
                <w:b/>
                <w:bCs/>
              </w:rPr>
            </w:pPr>
            <w:r>
              <w:rPr>
                <w:rFonts w:hint="eastAsia"/>
                <w:b/>
                <w:bCs/>
              </w:rPr>
              <w:t>增长率（</w:t>
            </w:r>
            <w:r>
              <w:rPr>
                <w:b/>
                <w:bCs/>
              </w:rPr>
              <w:t>%</w:t>
            </w:r>
            <w:r>
              <w:rPr>
                <w:rFonts w:hint="eastAsia"/>
                <w:b/>
                <w:bCs/>
              </w:rPr>
              <w:t>）</w:t>
            </w:r>
          </w:p>
        </w:tc>
        <w:tc>
          <w:tcPr>
            <w:tcW w:w="1750" w:type="dxa"/>
            <w:shd w:val="clear" w:color="auto" w:fill="D8D8D8" w:themeFill="background1" w:themeFillShade="D9"/>
            <w:vAlign w:val="center"/>
          </w:tcPr>
          <w:p>
            <w:pPr>
              <w:pStyle w:val="41"/>
              <w:rPr>
                <w:b/>
                <w:bCs/>
              </w:rPr>
            </w:pPr>
            <w:r>
              <w:rPr>
                <w:rFonts w:hint="eastAsia"/>
                <w:b/>
                <w:bCs/>
              </w:rPr>
              <w:t>货物周转量</w:t>
            </w:r>
          </w:p>
          <w:p>
            <w:pPr>
              <w:pStyle w:val="41"/>
              <w:rPr>
                <w:b/>
                <w:bCs/>
              </w:rPr>
            </w:pPr>
            <w:r>
              <w:rPr>
                <w:rFonts w:hint="eastAsia"/>
                <w:b/>
                <w:bCs/>
              </w:rPr>
              <w:t>增长率（</w:t>
            </w:r>
            <w:r>
              <w:rPr>
                <w:b/>
                <w:bCs/>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93" w:type="dxa"/>
          </w:tcPr>
          <w:p>
            <w:pPr>
              <w:pStyle w:val="41"/>
              <w:rPr>
                <w:bCs/>
              </w:rPr>
            </w:pPr>
            <w:r>
              <w:rPr>
                <w:bCs/>
              </w:rPr>
              <w:t>2011</w:t>
            </w:r>
          </w:p>
        </w:tc>
        <w:tc>
          <w:tcPr>
            <w:tcW w:w="1750" w:type="dxa"/>
          </w:tcPr>
          <w:p>
            <w:pPr>
              <w:pStyle w:val="41"/>
              <w:rPr>
                <w:bCs/>
              </w:rPr>
            </w:pPr>
            <w:r>
              <w:rPr>
                <w:bCs/>
              </w:rPr>
              <w:t>144</w:t>
            </w:r>
          </w:p>
        </w:tc>
        <w:tc>
          <w:tcPr>
            <w:tcW w:w="1751" w:type="dxa"/>
          </w:tcPr>
          <w:p>
            <w:pPr>
              <w:pStyle w:val="41"/>
              <w:rPr>
                <w:bCs/>
              </w:rPr>
            </w:pPr>
            <w:r>
              <w:rPr>
                <w:bCs/>
              </w:rPr>
              <w:t>13315</w:t>
            </w:r>
          </w:p>
        </w:tc>
        <w:tc>
          <w:tcPr>
            <w:tcW w:w="1750" w:type="dxa"/>
          </w:tcPr>
          <w:p>
            <w:pPr>
              <w:pStyle w:val="41"/>
              <w:rPr>
                <w:bCs/>
              </w:rPr>
            </w:pPr>
            <w:r>
              <w:rPr>
                <w:bCs/>
              </w:rPr>
              <w:t>-</w:t>
            </w:r>
          </w:p>
        </w:tc>
        <w:tc>
          <w:tcPr>
            <w:tcW w:w="1750" w:type="dxa"/>
          </w:tcPr>
          <w:p>
            <w:pPr>
              <w:pStyle w:val="41"/>
              <w:rPr>
                <w:bCs/>
              </w:rPr>
            </w:pP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93" w:type="dxa"/>
          </w:tcPr>
          <w:p>
            <w:pPr>
              <w:pStyle w:val="41"/>
              <w:rPr>
                <w:bCs/>
              </w:rPr>
            </w:pPr>
            <w:r>
              <w:rPr>
                <w:bCs/>
              </w:rPr>
              <w:t>2012</w:t>
            </w:r>
          </w:p>
        </w:tc>
        <w:tc>
          <w:tcPr>
            <w:tcW w:w="1750" w:type="dxa"/>
          </w:tcPr>
          <w:p>
            <w:pPr>
              <w:pStyle w:val="41"/>
              <w:rPr>
                <w:bCs/>
              </w:rPr>
            </w:pPr>
            <w:r>
              <w:rPr>
                <w:bCs/>
              </w:rPr>
              <w:t>162</w:t>
            </w:r>
          </w:p>
        </w:tc>
        <w:tc>
          <w:tcPr>
            <w:tcW w:w="1751" w:type="dxa"/>
          </w:tcPr>
          <w:p>
            <w:pPr>
              <w:pStyle w:val="41"/>
              <w:rPr>
                <w:bCs/>
              </w:rPr>
            </w:pPr>
            <w:r>
              <w:rPr>
                <w:bCs/>
              </w:rPr>
              <w:t>15797</w:t>
            </w:r>
          </w:p>
        </w:tc>
        <w:tc>
          <w:tcPr>
            <w:tcW w:w="1750" w:type="dxa"/>
          </w:tcPr>
          <w:p>
            <w:pPr>
              <w:pStyle w:val="41"/>
              <w:rPr>
                <w:bCs/>
              </w:rPr>
            </w:pPr>
            <w:r>
              <w:rPr>
                <w:bCs/>
              </w:rPr>
              <w:t>12.5</w:t>
            </w:r>
          </w:p>
        </w:tc>
        <w:tc>
          <w:tcPr>
            <w:tcW w:w="1750" w:type="dxa"/>
          </w:tcPr>
          <w:p>
            <w:pPr>
              <w:pStyle w:val="41"/>
              <w:rPr>
                <w:bCs/>
              </w:rPr>
            </w:pPr>
            <w:r>
              <w:rPr>
                <w:bCs/>
              </w:rPr>
              <w:t>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93" w:type="dxa"/>
          </w:tcPr>
          <w:p>
            <w:pPr>
              <w:pStyle w:val="41"/>
              <w:rPr>
                <w:bCs/>
              </w:rPr>
            </w:pPr>
            <w:r>
              <w:rPr>
                <w:bCs/>
              </w:rPr>
              <w:t>2013</w:t>
            </w:r>
          </w:p>
        </w:tc>
        <w:tc>
          <w:tcPr>
            <w:tcW w:w="1750" w:type="dxa"/>
          </w:tcPr>
          <w:p>
            <w:pPr>
              <w:pStyle w:val="41"/>
              <w:rPr>
                <w:bCs/>
              </w:rPr>
            </w:pPr>
            <w:r>
              <w:rPr>
                <w:bCs/>
              </w:rPr>
              <w:t>167</w:t>
            </w:r>
          </w:p>
        </w:tc>
        <w:tc>
          <w:tcPr>
            <w:tcW w:w="1751" w:type="dxa"/>
          </w:tcPr>
          <w:p>
            <w:pPr>
              <w:pStyle w:val="41"/>
              <w:rPr>
                <w:bCs/>
              </w:rPr>
            </w:pPr>
            <w:r>
              <w:rPr>
                <w:bCs/>
              </w:rPr>
              <w:t>15904</w:t>
            </w:r>
          </w:p>
        </w:tc>
        <w:tc>
          <w:tcPr>
            <w:tcW w:w="1750" w:type="dxa"/>
          </w:tcPr>
          <w:p>
            <w:pPr>
              <w:pStyle w:val="41"/>
              <w:rPr>
                <w:bCs/>
              </w:rPr>
            </w:pPr>
            <w:r>
              <w:rPr>
                <w:bCs/>
              </w:rPr>
              <w:t>3.09</w:t>
            </w:r>
          </w:p>
        </w:tc>
        <w:tc>
          <w:tcPr>
            <w:tcW w:w="1750" w:type="dxa"/>
          </w:tcPr>
          <w:p>
            <w:pPr>
              <w:pStyle w:val="41"/>
              <w:rPr>
                <w:bCs/>
              </w:rPr>
            </w:pPr>
            <w:r>
              <w:rPr>
                <w:bCs/>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93" w:type="dxa"/>
          </w:tcPr>
          <w:p>
            <w:pPr>
              <w:pStyle w:val="41"/>
              <w:rPr>
                <w:bCs/>
              </w:rPr>
            </w:pPr>
            <w:r>
              <w:rPr>
                <w:bCs/>
              </w:rPr>
              <w:t>2014</w:t>
            </w:r>
          </w:p>
        </w:tc>
        <w:tc>
          <w:tcPr>
            <w:tcW w:w="1750" w:type="dxa"/>
          </w:tcPr>
          <w:p>
            <w:pPr>
              <w:pStyle w:val="41"/>
              <w:rPr>
                <w:bCs/>
              </w:rPr>
            </w:pPr>
            <w:r>
              <w:rPr>
                <w:bCs/>
              </w:rPr>
              <w:t>182</w:t>
            </w:r>
          </w:p>
        </w:tc>
        <w:tc>
          <w:tcPr>
            <w:tcW w:w="1751" w:type="dxa"/>
          </w:tcPr>
          <w:p>
            <w:pPr>
              <w:pStyle w:val="41"/>
              <w:rPr>
                <w:bCs/>
              </w:rPr>
            </w:pPr>
            <w:r>
              <w:rPr>
                <w:bCs/>
              </w:rPr>
              <w:t>16400</w:t>
            </w:r>
          </w:p>
        </w:tc>
        <w:tc>
          <w:tcPr>
            <w:tcW w:w="1750" w:type="dxa"/>
          </w:tcPr>
          <w:p>
            <w:pPr>
              <w:pStyle w:val="41"/>
              <w:rPr>
                <w:bCs/>
              </w:rPr>
            </w:pPr>
            <w:r>
              <w:rPr>
                <w:bCs/>
              </w:rPr>
              <w:t>8.99</w:t>
            </w:r>
          </w:p>
        </w:tc>
        <w:tc>
          <w:tcPr>
            <w:tcW w:w="1750" w:type="dxa"/>
          </w:tcPr>
          <w:p>
            <w:pPr>
              <w:pStyle w:val="41"/>
              <w:rPr>
                <w:bCs/>
              </w:rPr>
            </w:pPr>
            <w:r>
              <w:rPr>
                <w:bCs/>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93" w:type="dxa"/>
          </w:tcPr>
          <w:p>
            <w:pPr>
              <w:pStyle w:val="41"/>
              <w:rPr>
                <w:bCs/>
              </w:rPr>
            </w:pPr>
            <w:r>
              <w:rPr>
                <w:rFonts w:hint="eastAsia"/>
                <w:bCs/>
              </w:rPr>
              <w:t>2015</w:t>
            </w:r>
          </w:p>
        </w:tc>
        <w:tc>
          <w:tcPr>
            <w:tcW w:w="1750" w:type="dxa"/>
          </w:tcPr>
          <w:p>
            <w:pPr>
              <w:pStyle w:val="41"/>
              <w:rPr>
                <w:bCs/>
              </w:rPr>
            </w:pPr>
            <w:r>
              <w:rPr>
                <w:rFonts w:hint="eastAsia"/>
                <w:bCs/>
              </w:rPr>
              <w:t>186</w:t>
            </w:r>
          </w:p>
        </w:tc>
        <w:tc>
          <w:tcPr>
            <w:tcW w:w="1751" w:type="dxa"/>
          </w:tcPr>
          <w:p>
            <w:pPr>
              <w:pStyle w:val="41"/>
              <w:rPr>
                <w:bCs/>
              </w:rPr>
            </w:pPr>
            <w:r>
              <w:rPr>
                <w:rFonts w:hint="eastAsia"/>
                <w:bCs/>
              </w:rPr>
              <w:t>16810</w:t>
            </w:r>
          </w:p>
        </w:tc>
        <w:tc>
          <w:tcPr>
            <w:tcW w:w="1750" w:type="dxa"/>
          </w:tcPr>
          <w:p>
            <w:pPr>
              <w:pStyle w:val="41"/>
              <w:rPr>
                <w:bCs/>
              </w:rPr>
            </w:pPr>
            <w:r>
              <w:rPr>
                <w:rFonts w:hint="eastAsia"/>
                <w:bCs/>
              </w:rPr>
              <w:t>2.2</w:t>
            </w:r>
          </w:p>
        </w:tc>
        <w:tc>
          <w:tcPr>
            <w:tcW w:w="1750" w:type="dxa"/>
          </w:tcPr>
          <w:p>
            <w:pPr>
              <w:pStyle w:val="41"/>
              <w:rPr>
                <w:bCs/>
              </w:rPr>
            </w:pPr>
            <w:r>
              <w:rPr>
                <w:rFonts w:hint="eastAsia"/>
                <w:bC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3" w:type="dxa"/>
          </w:tcPr>
          <w:p>
            <w:pPr>
              <w:pStyle w:val="41"/>
              <w:rPr>
                <w:bCs/>
              </w:rPr>
            </w:pPr>
            <w:r>
              <w:rPr>
                <w:rFonts w:hint="eastAsia"/>
                <w:bCs/>
              </w:rPr>
              <w:t>合计</w:t>
            </w:r>
          </w:p>
        </w:tc>
        <w:tc>
          <w:tcPr>
            <w:tcW w:w="1750" w:type="dxa"/>
          </w:tcPr>
          <w:p>
            <w:pPr>
              <w:pStyle w:val="41"/>
              <w:rPr>
                <w:bCs/>
              </w:rPr>
            </w:pPr>
            <w:r>
              <w:rPr>
                <w:rFonts w:hint="eastAsia"/>
                <w:bCs/>
              </w:rPr>
              <w:t>841</w:t>
            </w:r>
          </w:p>
        </w:tc>
        <w:tc>
          <w:tcPr>
            <w:tcW w:w="1751" w:type="dxa"/>
          </w:tcPr>
          <w:p>
            <w:pPr>
              <w:pStyle w:val="41"/>
              <w:rPr>
                <w:bCs/>
              </w:rPr>
            </w:pPr>
            <w:r>
              <w:rPr>
                <w:rFonts w:hint="eastAsia"/>
                <w:bCs/>
              </w:rPr>
              <w:t>78226</w:t>
            </w:r>
          </w:p>
        </w:tc>
        <w:tc>
          <w:tcPr>
            <w:tcW w:w="1750" w:type="dxa"/>
          </w:tcPr>
          <w:p>
            <w:pPr>
              <w:pStyle w:val="41"/>
              <w:rPr>
                <w:bCs/>
              </w:rPr>
            </w:pPr>
            <w:r>
              <w:rPr>
                <w:bCs/>
              </w:rPr>
              <w:t>-</w:t>
            </w:r>
          </w:p>
        </w:tc>
        <w:tc>
          <w:tcPr>
            <w:tcW w:w="1750" w:type="dxa"/>
          </w:tcPr>
          <w:p>
            <w:pPr>
              <w:pStyle w:val="41"/>
              <w:rPr>
                <w:bCs/>
              </w:rPr>
            </w:pPr>
            <w:r>
              <w:rPr>
                <w:bCs/>
              </w:rPr>
              <w:t>-</w:t>
            </w:r>
          </w:p>
        </w:tc>
      </w:tr>
    </w:tbl>
    <w:p>
      <w:pPr>
        <w:pStyle w:val="22"/>
        <w:spacing w:line="360" w:lineRule="auto"/>
        <w:ind w:firstLine="360"/>
        <w:jc w:val="both"/>
        <w:rPr>
          <w:rFonts w:ascii="宋体" w:hAnsi="宋体" w:eastAsia="宋体" w:cs="ATC-6b636587"/>
          <w:sz w:val="18"/>
          <w:szCs w:val="18"/>
        </w:rPr>
      </w:pPr>
      <w:r>
        <w:rPr>
          <w:rFonts w:hint="eastAsia" w:ascii="宋体" w:hAnsi="宋体" w:eastAsia="宋体" w:cs="ATC-6b636587"/>
          <w:sz w:val="18"/>
          <w:szCs w:val="18"/>
        </w:rPr>
        <w:t>注：数据来源于《云和县国民经济和社会发展统计公报》</w:t>
      </w:r>
    </w:p>
    <w:p>
      <w:pPr>
        <w:ind w:left="-142" w:right="-650" w:rightChars="-232" w:firstLine="145" w:firstLineChars="0"/>
        <w:rPr>
          <w:b/>
        </w:rPr>
      </w:pPr>
      <w:r>
        <w:drawing>
          <wp:inline distT="0" distB="0" distL="0" distR="0">
            <wp:extent cx="2941320" cy="1676400"/>
            <wp:effectExtent l="0" t="0" r="1143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drawing>
          <wp:inline distT="0" distB="0" distL="0" distR="0">
            <wp:extent cx="2819400" cy="1676400"/>
            <wp:effectExtent l="0" t="0" r="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right="-375" w:rightChars="-134" w:firstLine="0" w:firstLineChars="0"/>
        <w:rPr>
          <w:b/>
          <w:sz w:val="21"/>
          <w:szCs w:val="21"/>
        </w:rPr>
      </w:pPr>
      <w:r>
        <w:rPr>
          <w:rFonts w:hint="eastAsia"/>
          <w:b/>
          <w:sz w:val="24"/>
          <w:szCs w:val="24"/>
        </w:rPr>
        <w:t>图2-42011-2015年云和县道路货运量图2-52011-2015年云和县道路货运周转量</w:t>
      </w:r>
    </w:p>
    <w:p>
      <w:pPr>
        <w:ind w:firstLine="0" w:firstLineChars="0"/>
        <w:rPr>
          <w:b/>
        </w:rPr>
      </w:pPr>
    </w:p>
    <w:p>
      <w:pPr>
        <w:ind w:firstLine="0" w:firstLineChars="0"/>
        <w:rPr>
          <w:b/>
        </w:rPr>
      </w:pPr>
      <w:r>
        <w:rPr>
          <w:b/>
        </w:rPr>
        <w:t>2</w:t>
      </w:r>
      <w:r>
        <w:rPr>
          <w:rFonts w:hint="eastAsia"/>
          <w:b/>
        </w:rPr>
        <w:t>.运输装备配备及结构</w:t>
      </w:r>
    </w:p>
    <w:p>
      <w:pPr>
        <w:ind w:firstLine="560"/>
      </w:pPr>
      <w:r>
        <w:rPr>
          <w:rFonts w:hint="eastAsia"/>
        </w:rPr>
        <w:t>“十二五”期间，云和县道路运输装备发展较为缓慢。到</w:t>
      </w:r>
      <w:r>
        <w:t>201</w:t>
      </w:r>
      <w:r>
        <w:rPr>
          <w:rFonts w:hint="eastAsia"/>
        </w:rPr>
        <w:t>5年末，全县共有各类营运机动车辆680辆（客车99辆，货车</w:t>
      </w:r>
      <w:r>
        <w:t>5</w:t>
      </w:r>
      <w:r>
        <w:rPr>
          <w:rFonts w:hint="eastAsia"/>
        </w:rPr>
        <w:t>81辆）其中：大型客车</w:t>
      </w:r>
      <w:r>
        <w:t>1</w:t>
      </w:r>
      <w:r>
        <w:rPr>
          <w:rFonts w:hint="eastAsia"/>
        </w:rPr>
        <w:t>8辆、中型客车35辆、小型客车</w:t>
      </w:r>
      <w:r>
        <w:t>4</w:t>
      </w:r>
      <w:r>
        <w:rPr>
          <w:rFonts w:hint="eastAsia"/>
        </w:rPr>
        <w:t>6辆。营运货车占到总车辆数85%，其中大型货车</w:t>
      </w:r>
      <w:r>
        <w:t>2</w:t>
      </w:r>
      <w:r>
        <w:rPr>
          <w:rFonts w:hint="eastAsia"/>
        </w:rPr>
        <w:t>64辆、中型货车1辆，小型货车</w:t>
      </w:r>
      <w:r>
        <w:t>2</w:t>
      </w:r>
      <w:r>
        <w:rPr>
          <w:rFonts w:hint="eastAsia"/>
        </w:rPr>
        <w:t>00辆，牵引车116辆。随着客流量和客运周转量的减少，以及运输资源的整合，云和县道路旅客运输装备在“十二五”期间并没有得到较大发展，车型结构也没有获得较好的优化。而随着现代物流业规模化、专业化的推进，物流需求的增加，2015年末，全县大型载货汽车数量较2011年增加了82%。</w:t>
      </w:r>
    </w:p>
    <w:p>
      <w:pPr>
        <w:autoSpaceDE w:val="0"/>
        <w:autoSpaceDN w:val="0"/>
        <w:adjustRightInd w:val="0"/>
        <w:ind w:firstLine="0" w:firstLineChars="0"/>
        <w:jc w:val="center"/>
        <w:textAlignment w:val="center"/>
        <w:rPr>
          <w:rFonts w:ascii="宋体" w:cs="ATC-6b636587"/>
          <w:szCs w:val="28"/>
          <w:lang w:val="zh-CN"/>
        </w:rPr>
      </w:pPr>
      <w:r>
        <w:rPr>
          <w:rFonts w:ascii="宋体" w:cs="ATC-6b636587"/>
          <w:szCs w:val="28"/>
        </w:rPr>
        <w:drawing>
          <wp:inline distT="0" distB="0" distL="0" distR="0">
            <wp:extent cx="5514340" cy="307340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9">
                      <a:extLst>
                        <a:ext uri="{28A0092B-C50C-407E-A947-70E740481C1C}">
                          <a14:useLocalDpi xmlns:a14="http://schemas.microsoft.com/office/drawing/2010/main" val="false"/>
                        </a:ext>
                      </a:extLst>
                    </a:blip>
                    <a:srcRect l="1631" t="7198" b="7618"/>
                    <a:stretch>
                      <a:fillRect/>
                    </a:stretch>
                  </pic:blipFill>
                  <pic:spPr>
                    <a:xfrm>
                      <a:off x="0" y="0"/>
                      <a:ext cx="5514340" cy="3073400"/>
                    </a:xfrm>
                    <a:prstGeom prst="rect">
                      <a:avLst/>
                    </a:prstGeom>
                    <a:ln>
                      <a:noFill/>
                    </a:ln>
                  </pic:spPr>
                </pic:pic>
              </a:graphicData>
            </a:graphic>
          </wp:inline>
        </w:drawing>
      </w:r>
    </w:p>
    <w:p>
      <w:pPr>
        <w:pStyle w:val="60"/>
      </w:pPr>
      <w:r>
        <w:rPr>
          <w:rFonts w:hint="eastAsia"/>
        </w:rPr>
        <w:t>图</w:t>
      </w:r>
      <w:r>
        <w:t>2-</w:t>
      </w:r>
      <w:r>
        <w:rPr>
          <w:rFonts w:hint="eastAsia"/>
        </w:rPr>
        <w:t>6云和县营运性车辆结构分析图</w:t>
      </w:r>
    </w:p>
    <w:p>
      <w:pPr>
        <w:ind w:firstLine="0" w:firstLineChars="0"/>
        <w:rPr>
          <w:b/>
        </w:rPr>
      </w:pPr>
      <w:r>
        <w:rPr>
          <w:b/>
        </w:rPr>
        <w:t>3</w:t>
      </w:r>
      <w:r>
        <w:rPr>
          <w:rFonts w:hint="eastAsia"/>
          <w:b/>
        </w:rPr>
        <w:t>.市场主体及结构</w:t>
      </w:r>
    </w:p>
    <w:p>
      <w:pPr>
        <w:ind w:firstLine="0" w:firstLineChars="0"/>
        <w:rPr>
          <w:b/>
        </w:rPr>
      </w:pPr>
      <w:r>
        <w:rPr>
          <w:rFonts w:hint="eastAsia"/>
          <w:b/>
        </w:rPr>
        <w:t>（</w:t>
      </w:r>
      <w:r>
        <w:rPr>
          <w:b/>
        </w:rPr>
        <w:t>1</w:t>
      </w:r>
      <w:r>
        <w:rPr>
          <w:rFonts w:hint="eastAsia"/>
          <w:b/>
        </w:rPr>
        <w:t>）客运企业</w:t>
      </w:r>
    </w:p>
    <w:p>
      <w:pPr>
        <w:ind w:firstLine="560"/>
      </w:pPr>
      <w:r>
        <w:rPr>
          <w:rFonts w:hint="eastAsia"/>
        </w:rPr>
        <w:t>到</w:t>
      </w:r>
      <w:r>
        <w:t>201</w:t>
      </w:r>
      <w:r>
        <w:rPr>
          <w:rFonts w:hint="eastAsia"/>
        </w:rPr>
        <w:t>5年底，云和县共有从事班线和包车旅客运输企业2家，分别是恒通汽车运输有限公司和瓯上旅业投资有限公司。恒通汽车运输有限公司经营班线客运和包车客运，拥有车辆49辆，1197座，客运线路</w:t>
      </w:r>
      <w:r>
        <w:t>24</w:t>
      </w:r>
      <w:r>
        <w:rPr>
          <w:rFonts w:hint="eastAsia"/>
        </w:rPr>
        <w:t>条，其中省际客运线路</w:t>
      </w:r>
      <w:r>
        <w:t>1</w:t>
      </w:r>
      <w:r>
        <w:rPr>
          <w:rFonts w:hint="eastAsia"/>
        </w:rPr>
        <w:t>条（上海）、车辆1辆、36客位；市际客运线路</w:t>
      </w:r>
      <w:r>
        <w:t>5</w:t>
      </w:r>
      <w:r>
        <w:rPr>
          <w:rFonts w:hint="eastAsia"/>
        </w:rPr>
        <w:t>条（杭州、温州、宁波、金华、义乌）、车辆</w:t>
      </w:r>
      <w:r>
        <w:t>6</w:t>
      </w:r>
      <w:r>
        <w:rPr>
          <w:rFonts w:hint="eastAsia"/>
        </w:rPr>
        <w:t>辆、</w:t>
      </w:r>
      <w:r>
        <w:t>20</w:t>
      </w:r>
      <w:r>
        <w:rPr>
          <w:rFonts w:hint="eastAsia"/>
        </w:rPr>
        <w:t>2客位；县际客运线路</w:t>
      </w:r>
      <w:r>
        <w:t>7</w:t>
      </w:r>
      <w:r>
        <w:rPr>
          <w:rFonts w:hint="eastAsia"/>
        </w:rPr>
        <w:t>条（丽水、景宁、松阳、龙泉、英川、大港头、金村</w:t>
      </w:r>
      <w:r>
        <w:t>-</w:t>
      </w:r>
      <w:r>
        <w:rPr>
          <w:rFonts w:hint="eastAsia"/>
        </w:rPr>
        <w:t>大港头）、车辆</w:t>
      </w:r>
      <w:r>
        <w:t>12</w:t>
      </w:r>
      <w:r>
        <w:rPr>
          <w:rFonts w:hint="eastAsia"/>
        </w:rPr>
        <w:t>辆、334客位；县内</w:t>
      </w:r>
      <w:r>
        <w:t>11</w:t>
      </w:r>
      <w:r>
        <w:rPr>
          <w:rFonts w:hint="eastAsia"/>
        </w:rPr>
        <w:t>条（赤石、雾溪、安溪、梅源、张家地、崇头</w:t>
      </w:r>
      <w:r>
        <w:t>-</w:t>
      </w:r>
      <w:r>
        <w:rPr>
          <w:rFonts w:hint="eastAsia"/>
        </w:rPr>
        <w:t>沙铺、库北</w:t>
      </w:r>
      <w:r>
        <w:t>-</w:t>
      </w:r>
      <w:r>
        <w:rPr>
          <w:rFonts w:hint="eastAsia"/>
        </w:rPr>
        <w:t>建源、龙门、沈庄、金村），车辆</w:t>
      </w:r>
      <w:r>
        <w:t>2</w:t>
      </w:r>
      <w:r>
        <w:rPr>
          <w:rFonts w:hint="eastAsia"/>
        </w:rPr>
        <w:t>7辆、492客位，包车3辆、133座。瓯上旅业投资有限公司经营县内包车（景区接送），车辆5辆、177客位。但由于云和县社会经济发展刺激家用小汽车的迅速增加以及高铁时代的到来，目前云和客运企业面临经营困难的问题。</w:t>
      </w:r>
    </w:p>
    <w:p>
      <w:pPr>
        <w:ind w:firstLine="0" w:firstLineChars="0"/>
      </w:pPr>
      <w:r>
        <w:drawing>
          <wp:inline distT="0" distB="0" distL="0" distR="0">
            <wp:extent cx="5729605" cy="3637915"/>
            <wp:effectExtent l="0" t="0" r="10795"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0" y="0"/>
                      <a:ext cx="5735064" cy="3641192"/>
                    </a:xfrm>
                    <a:prstGeom prst="rect">
                      <a:avLst/>
                    </a:prstGeom>
                  </pic:spPr>
                </pic:pic>
              </a:graphicData>
            </a:graphic>
          </wp:inline>
        </w:drawing>
      </w:r>
    </w:p>
    <w:p>
      <w:pPr>
        <w:pStyle w:val="60"/>
      </w:pPr>
      <w:r>
        <w:rPr>
          <w:rFonts w:hint="eastAsia"/>
        </w:rPr>
        <w:t>图</w:t>
      </w:r>
      <w:r>
        <w:t>2-</w:t>
      </w:r>
      <w:r>
        <w:rPr>
          <w:rFonts w:hint="eastAsia"/>
        </w:rPr>
        <w:t>7云和县客运线路图</w:t>
      </w:r>
    </w:p>
    <w:p>
      <w:pPr>
        <w:ind w:firstLine="0" w:firstLineChars="0"/>
        <w:rPr>
          <w:b/>
        </w:rPr>
      </w:pPr>
      <w:r>
        <w:rPr>
          <w:rFonts w:hint="eastAsia"/>
          <w:b/>
        </w:rPr>
        <w:t>（</w:t>
      </w:r>
      <w:r>
        <w:rPr>
          <w:b/>
        </w:rPr>
        <w:t>2</w:t>
      </w:r>
      <w:r>
        <w:rPr>
          <w:rFonts w:hint="eastAsia"/>
          <w:b/>
        </w:rPr>
        <w:t>）货运企业</w:t>
      </w:r>
    </w:p>
    <w:p>
      <w:pPr>
        <w:ind w:firstLine="560"/>
      </w:pPr>
      <w:r>
        <w:t>201</w:t>
      </w:r>
      <w:r>
        <w:rPr>
          <w:rFonts w:hint="eastAsia"/>
        </w:rPr>
        <w:t>5年，云和县货运企业共3家，分别是：云和县华宏运输有限公司、云和正宏汽车服务有限公司和云和万通汽车运输有限公司。云和县华宏运输有限公司拥有货运车辆</w:t>
      </w:r>
      <w:r>
        <w:t>95</w:t>
      </w:r>
      <w:r>
        <w:rPr>
          <w:rFonts w:hint="eastAsia"/>
        </w:rPr>
        <w:t>辆，载重量可达</w:t>
      </w:r>
      <w:r>
        <w:t>1630</w:t>
      </w:r>
      <w:r>
        <w:rPr>
          <w:rFonts w:hint="eastAsia"/>
        </w:rPr>
        <w:t>吨（其中牵引车</w:t>
      </w:r>
      <w:r>
        <w:t>46</w:t>
      </w:r>
      <w:r>
        <w:rPr>
          <w:rFonts w:hint="eastAsia"/>
        </w:rPr>
        <w:t>辆，挂车</w:t>
      </w:r>
      <w:r>
        <w:t>49</w:t>
      </w:r>
      <w:r>
        <w:rPr>
          <w:rFonts w:hint="eastAsia"/>
        </w:rPr>
        <w:t>辆），全部为自有车辆，主要满足云和县华宏钢铁厂的钢铁运输。云和正宏汽车服务有限公司拥有货车11辆（其中：普通货车10辆76吨，牵引车1辆）。云和万通汽车运输有限公司拥有货运车辆</w:t>
      </w:r>
      <w:r>
        <w:t>159</w:t>
      </w:r>
      <w:r>
        <w:rPr>
          <w:rFonts w:hint="eastAsia"/>
        </w:rPr>
        <w:t>辆，载重量</w:t>
      </w:r>
      <w:r>
        <w:t>2347</w:t>
      </w:r>
      <w:r>
        <w:rPr>
          <w:rFonts w:hint="eastAsia"/>
        </w:rPr>
        <w:t>吨（其中：牵引车</w:t>
      </w:r>
      <w:r>
        <w:t>48</w:t>
      </w:r>
      <w:r>
        <w:rPr>
          <w:rFonts w:hint="eastAsia"/>
        </w:rPr>
        <w:t>辆，挂车</w:t>
      </w:r>
      <w:r>
        <w:t>47</w:t>
      </w:r>
      <w:r>
        <w:rPr>
          <w:rFonts w:hint="eastAsia"/>
        </w:rPr>
        <w:t>辆，</w:t>
      </w:r>
      <w:r>
        <w:t>1500</w:t>
      </w:r>
      <w:r>
        <w:rPr>
          <w:rFonts w:hint="eastAsia"/>
        </w:rPr>
        <w:t>吨，普通货车</w:t>
      </w:r>
      <w:r>
        <w:t>64</w:t>
      </w:r>
      <w:r>
        <w:rPr>
          <w:rFonts w:hint="eastAsia"/>
        </w:rPr>
        <w:t>辆</w:t>
      </w:r>
      <w:r>
        <w:t>847</w:t>
      </w:r>
      <w:r>
        <w:rPr>
          <w:rFonts w:hint="eastAsia"/>
        </w:rPr>
        <w:t>吨），但该公司服务对象在县外，不服务县内企业。</w:t>
      </w:r>
    </w:p>
    <w:p>
      <w:pPr>
        <w:ind w:firstLine="0" w:firstLineChars="0"/>
        <w:rPr>
          <w:b/>
        </w:rPr>
      </w:pPr>
      <w:r>
        <w:rPr>
          <w:rFonts w:hint="eastAsia"/>
          <w:b/>
        </w:rPr>
        <w:t>（</w:t>
      </w:r>
      <w:r>
        <w:rPr>
          <w:b/>
        </w:rPr>
        <w:t>3</w:t>
      </w:r>
      <w:r>
        <w:rPr>
          <w:rFonts w:hint="eastAsia"/>
          <w:b/>
        </w:rPr>
        <w:t>）驾培企业</w:t>
      </w:r>
    </w:p>
    <w:p>
      <w:pPr>
        <w:ind w:firstLine="560"/>
      </w:pPr>
      <w:r>
        <w:rPr>
          <w:rFonts w:hint="eastAsia"/>
        </w:rPr>
        <w:t>随着机动车数量的迅猛增长，驾驶员培训需求量逐年增加。目前，云和县共拥有两家驾校，分别是安泰驾校和处州驾校。两家驾校占地面积共28806平方米，拥有培训车辆102辆，教练139人。</w:t>
      </w:r>
      <w:r>
        <w:t>201</w:t>
      </w:r>
      <w:r>
        <w:rPr>
          <w:rFonts w:hint="eastAsia"/>
        </w:rPr>
        <w:t>5年，两家驾校共结业4394人（其中安泰驾校</w:t>
      </w:r>
      <w:r>
        <w:t>1</w:t>
      </w:r>
      <w:r>
        <w:rPr>
          <w:rFonts w:hint="eastAsia"/>
        </w:rPr>
        <w:t>424人、处州驾校2970人），较2011年上涨了297.29%，更新教练车</w:t>
      </w:r>
      <w:r>
        <w:t>35</w:t>
      </w:r>
      <w:r>
        <w:rPr>
          <w:rFonts w:hint="eastAsia"/>
        </w:rPr>
        <w:t>辆（安泰驾校</w:t>
      </w:r>
      <w:r>
        <w:t>15</w:t>
      </w:r>
      <w:r>
        <w:rPr>
          <w:rFonts w:hint="eastAsia"/>
        </w:rPr>
        <w:t>辆，处州驾校</w:t>
      </w:r>
      <w:r>
        <w:t>20</w:t>
      </w:r>
      <w:r>
        <w:rPr>
          <w:rFonts w:hint="eastAsia"/>
        </w:rPr>
        <w:t>辆）。此外，处州驾校新增一块</w:t>
      </w:r>
      <w:r>
        <w:t>4000</w:t>
      </w:r>
      <w:r>
        <w:rPr>
          <w:rFonts w:hint="eastAsia"/>
        </w:rPr>
        <w:t>余平方米的副训练场地。根据对云和县驾培需求量调查，目前云和县驾培行业基本可以满足云和县居民机动车驾驶员培训的需求。</w:t>
      </w:r>
    </w:p>
    <w:p>
      <w:pPr>
        <w:ind w:firstLine="0" w:firstLineChars="0"/>
        <w:rPr>
          <w:b/>
        </w:rPr>
      </w:pPr>
      <w:r>
        <w:rPr>
          <w:rFonts w:hint="eastAsia"/>
          <w:b/>
        </w:rPr>
        <w:t>（</w:t>
      </w:r>
      <w:r>
        <w:rPr>
          <w:b/>
        </w:rPr>
        <w:t>4</w:t>
      </w:r>
      <w:r>
        <w:rPr>
          <w:rFonts w:hint="eastAsia"/>
          <w:b/>
        </w:rPr>
        <w:t>）维修企业</w:t>
      </w:r>
    </w:p>
    <w:p>
      <w:pPr>
        <w:ind w:firstLine="560"/>
      </w:pPr>
      <w:r>
        <w:rPr>
          <w:rFonts w:hint="eastAsia"/>
        </w:rPr>
        <w:t>到</w:t>
      </w:r>
      <w:r>
        <w:t>201</w:t>
      </w:r>
      <w:r>
        <w:rPr>
          <w:rFonts w:hint="eastAsia"/>
        </w:rPr>
        <w:t>5年底，云和县共有机动车维修厂（店）83家，其中：一类维修</w:t>
      </w:r>
      <w:r>
        <w:t>1</w:t>
      </w:r>
      <w:r>
        <w:rPr>
          <w:rFonts w:hint="eastAsia"/>
        </w:rPr>
        <w:t>家、二类维修</w:t>
      </w:r>
      <w:r>
        <w:t>10</w:t>
      </w:r>
      <w:r>
        <w:rPr>
          <w:rFonts w:hint="eastAsia"/>
        </w:rPr>
        <w:t>家、三类维修企业</w:t>
      </w:r>
      <w:r>
        <w:t>4</w:t>
      </w:r>
      <w:r>
        <w:rPr>
          <w:rFonts w:hint="eastAsia"/>
        </w:rPr>
        <w:t>8家、摩托车维修</w:t>
      </w:r>
      <w:r>
        <w:t>24</w:t>
      </w:r>
      <w:r>
        <w:rPr>
          <w:rFonts w:hint="eastAsia"/>
        </w:rPr>
        <w:t>家，从业人员323人，年汽车维修量35800余辆次。从图2-10可以看出目前云和县维修企业主要以三类维修企业为主，整个维修业仍然处于小、散、乱的阶段。由于对维修企业也没有进行有效的规划管理，同时也因为土地、资金等因素制约了全县维修企业规模化、专业化经营，当前的维修行业规模已无法满足云和县社会经济发展的需要和私家车迅速增长所产生的维修需要。</w:t>
      </w:r>
    </w:p>
    <w:p>
      <w:pPr>
        <w:pStyle w:val="42"/>
      </w:pPr>
      <w:r>
        <w:drawing>
          <wp:inline distT="0" distB="0" distL="0" distR="0">
            <wp:extent cx="5222875" cy="2324100"/>
            <wp:effectExtent l="0" t="0" r="34925" b="1270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60"/>
      </w:pPr>
      <w:r>
        <w:rPr>
          <w:rFonts w:hint="eastAsia"/>
        </w:rPr>
        <w:t>图</w:t>
      </w:r>
      <w:r>
        <w:t>2-</w:t>
      </w:r>
      <w:r>
        <w:rPr>
          <w:rFonts w:hint="eastAsia"/>
        </w:rPr>
        <w:t>82010-2015云和县各类维修企业数量图</w:t>
      </w:r>
    </w:p>
    <w:p>
      <w:pPr>
        <w:ind w:firstLine="0" w:firstLineChars="0"/>
        <w:rPr>
          <w:b/>
        </w:rPr>
      </w:pPr>
      <w:r>
        <w:rPr>
          <w:rFonts w:hint="eastAsia"/>
          <w:b/>
        </w:rPr>
        <w:t>（</w:t>
      </w:r>
      <w:r>
        <w:rPr>
          <w:b/>
        </w:rPr>
        <w:t>5</w:t>
      </w:r>
      <w:r>
        <w:rPr>
          <w:rFonts w:hint="eastAsia"/>
          <w:b/>
        </w:rPr>
        <w:t>）出租车企业</w:t>
      </w:r>
    </w:p>
    <w:p>
      <w:pPr>
        <w:ind w:firstLine="560"/>
      </w:pPr>
      <w:r>
        <w:rPr>
          <w:rFonts w:hint="eastAsia"/>
        </w:rPr>
        <w:t>到</w:t>
      </w:r>
      <w:r>
        <w:t>201</w:t>
      </w:r>
      <w:r>
        <w:rPr>
          <w:rFonts w:hint="eastAsia"/>
        </w:rPr>
        <w:t>5年底，云和县共有</w:t>
      </w:r>
      <w:r>
        <w:t>1</w:t>
      </w:r>
      <w:r>
        <w:rPr>
          <w:rFonts w:hint="eastAsia"/>
        </w:rPr>
        <w:t>家出租车企业</w:t>
      </w:r>
      <w:r>
        <w:t>——</w:t>
      </w:r>
      <w:r>
        <w:rPr>
          <w:rFonts w:hint="eastAsia"/>
        </w:rPr>
        <w:t>恒运旅游运输有限公司。拥有出租车</w:t>
      </w:r>
      <w:r>
        <w:t>24</w:t>
      </w:r>
      <w:r>
        <w:rPr>
          <w:rFonts w:hint="eastAsia"/>
        </w:rPr>
        <w:t>辆，出租车驾驶员32名。按照</w:t>
      </w:r>
      <w:r>
        <w:t>201</w:t>
      </w:r>
      <w:r>
        <w:rPr>
          <w:rFonts w:hint="eastAsia"/>
        </w:rPr>
        <w:t>5年云和县人口数量计算，</w:t>
      </w:r>
      <w:r>
        <w:t>201</w:t>
      </w:r>
      <w:r>
        <w:rPr>
          <w:rFonts w:hint="eastAsia"/>
        </w:rPr>
        <w:t>5年年底云和县人均拥有出租车数量为0.21辆每千人。根据现行的《城市道路交通规划设计规范（</w:t>
      </w:r>
      <w:r>
        <w:t>GB</w:t>
      </w:r>
      <w:r>
        <w:rPr>
          <w:rFonts w:hint="eastAsia"/>
        </w:rPr>
        <w:t>50220-95）》给出的城市出租车拥有量的下限，即大城市每千人不宜少于2辆，小城市每千人不宜少于0.5辆，云和县人均拥有出租车数量处于全国甚至是浙江省的较低水平。云和县出租车企业的经营主要是以挂靠经营的模式经营，这种经营模式并不利于对出租车驾驶员的管理及云和县整体出租车服务业服务水平的提升。</w:t>
      </w:r>
    </w:p>
    <w:p>
      <w:pPr>
        <w:ind w:firstLine="0" w:firstLineChars="0"/>
        <w:rPr>
          <w:b/>
        </w:rPr>
      </w:pPr>
      <w:r>
        <w:rPr>
          <w:rFonts w:hint="eastAsia"/>
          <w:b/>
        </w:rPr>
        <w:t>（6）公交企业</w:t>
      </w:r>
    </w:p>
    <w:p>
      <w:pPr>
        <w:ind w:firstLine="560"/>
      </w:pPr>
      <w:r>
        <w:rPr>
          <w:rFonts w:hint="eastAsia"/>
        </w:rPr>
        <w:t>云和县拥有公交客运企业1家—仙宫城市公交客运有限公司，该公司属于国有独资企业，公司现有员工39名，其中驾驶员30人，管理人员9人。全县正在运行的3条公交线路均由该公司负责运营。公司拥有城市公交车辆16辆，其中大客8辆，中巴8辆，共有旅客座位数223座。</w:t>
      </w:r>
    </w:p>
    <w:p>
      <w:pPr>
        <w:pStyle w:val="44"/>
        <w:spacing w:before="190" w:after="190"/>
        <w:outlineLvl w:val="2"/>
      </w:pPr>
      <w:bookmarkStart w:id="18" w:name="_Toc317843276"/>
      <w:r>
        <w:t>2.2.2</w:t>
      </w:r>
      <w:r>
        <w:rPr>
          <w:rFonts w:hint="eastAsia"/>
        </w:rPr>
        <w:t>基础设施状况</w:t>
      </w:r>
      <w:bookmarkEnd w:id="18"/>
    </w:p>
    <w:p>
      <w:pPr>
        <w:ind w:firstLine="0" w:firstLineChars="0"/>
        <w:rPr>
          <w:b/>
        </w:rPr>
      </w:pPr>
      <w:r>
        <w:rPr>
          <w:b/>
        </w:rPr>
        <w:t>1</w:t>
      </w:r>
      <w:r>
        <w:rPr>
          <w:rFonts w:hint="eastAsia"/>
          <w:b/>
        </w:rPr>
        <w:t>.道路建设</w:t>
      </w:r>
    </w:p>
    <w:p>
      <w:pPr>
        <w:ind w:firstLine="560"/>
      </w:pPr>
      <w:r>
        <w:rPr>
          <w:rFonts w:hint="eastAsia"/>
        </w:rPr>
        <w:t>“十二五”期间，云和县道路运输建设以强化公路主骨架，形成便捷、畅通、安全的交通网络为主要任务，以构建</w:t>
      </w:r>
      <w:r>
        <w:t>“</w:t>
      </w:r>
      <w:r>
        <w:rPr>
          <w:rFonts w:hint="eastAsia"/>
        </w:rPr>
        <w:t>五横四纵七联</w:t>
      </w:r>
      <w:r>
        <w:t>”</w:t>
      </w:r>
      <w:r>
        <w:rPr>
          <w:rFonts w:hint="eastAsia"/>
        </w:rPr>
        <w:t>的公路网主体结构为建设目标（五横是：石汶线、紧大线</w:t>
      </w:r>
      <w:r>
        <w:t>+</w:t>
      </w:r>
      <w:r>
        <w:rPr>
          <w:rFonts w:hint="eastAsia"/>
        </w:rPr>
        <w:t>大源至沙埠、局龙线</w:t>
      </w:r>
      <w:r>
        <w:t>+</w:t>
      </w:r>
      <w:r>
        <w:rPr>
          <w:rFonts w:hint="eastAsia"/>
        </w:rPr>
        <w:t>赤石至龙门</w:t>
      </w:r>
      <w:r>
        <w:t>+</w:t>
      </w:r>
      <w:r>
        <w:rPr>
          <w:rFonts w:hint="eastAsia"/>
        </w:rPr>
        <w:t>赤石至道太、丽浦线、丽龙高速公路；四纵是：云寿线、云龙线、云景高速公路、后交线；七连是：小顺至云坛、黄安线、梅雾线、雾溪至安溪、桃子坑至大东坝、张大线、岙沙线。）重点建设高速公路、干线公路，进一步加强县乡公路、乡村康庄工程建设，进一步改善路面状况，扶持民间交通建设。到“十二五”末期，云和县的对外交通网络已基本形成，县内道路网络框架已基本搭建成型。</w:t>
      </w:r>
    </w:p>
    <w:p>
      <w:pPr>
        <w:ind w:firstLine="562"/>
      </w:pPr>
      <w:r>
        <w:rPr>
          <w:rFonts w:hint="eastAsia"/>
          <w:b/>
        </w:rPr>
        <w:t>高速网络工程：</w:t>
      </w:r>
      <w:r>
        <w:rPr>
          <w:rFonts w:hint="eastAsia"/>
        </w:rPr>
        <w:t>云景高速公路于2013年4月建成通车，完成投资5.55亿元。完成丽龙高速公路云和段老矮1号桥、老矮2号桥独柱墩改造工程174万元。</w:t>
      </w:r>
    </w:p>
    <w:p>
      <w:pPr>
        <w:ind w:firstLine="562"/>
        <w:rPr>
          <w:rFonts w:ascii="楷体" w:hAnsi="楷体" w:eastAsia="楷体"/>
          <w:sz w:val="30"/>
          <w:szCs w:val="30"/>
        </w:rPr>
      </w:pPr>
      <w:r>
        <w:rPr>
          <w:rFonts w:hint="eastAsia"/>
          <w:b/>
        </w:rPr>
        <w:t>省道干线工程：</w:t>
      </w:r>
      <w:r>
        <w:rPr>
          <w:rFonts w:hint="eastAsia"/>
        </w:rPr>
        <w:t>完成复兴路（53省道云和县城过境段公路）工程投资3.12亿元；完成52省道岚头岭段改建工程（云和段）投资9032万元</w:t>
      </w:r>
      <w:bookmarkStart w:id="19" w:name="OLE_LINK3"/>
      <w:r>
        <w:rPr>
          <w:rFonts w:hint="eastAsia"/>
        </w:rPr>
        <w:t>。</w:t>
      </w:r>
      <w:bookmarkEnd w:id="19"/>
    </w:p>
    <w:p>
      <w:pPr>
        <w:ind w:firstLine="562"/>
      </w:pPr>
      <w:r>
        <w:rPr>
          <w:rFonts w:hint="eastAsia"/>
          <w:b/>
        </w:rPr>
        <w:t>县乡农村联网公路：</w:t>
      </w:r>
      <w:r>
        <w:rPr>
          <w:rFonts w:hint="eastAsia"/>
        </w:rPr>
        <w:t>完成农村联网公路投资总额1679万元,建设总里程30公里。</w:t>
      </w:r>
    </w:p>
    <w:p>
      <w:pPr>
        <w:ind w:firstLine="562"/>
      </w:pPr>
      <w:r>
        <w:rPr>
          <w:rFonts w:hint="eastAsia"/>
          <w:b/>
        </w:rPr>
        <w:t>公路大中修、安保及其它养护工程：</w:t>
      </w:r>
      <w:r>
        <w:rPr>
          <w:rFonts w:hint="eastAsia"/>
        </w:rPr>
        <w:t>完成公路安全保障投资、路面大中修及其它工程投资总额1.56亿元。</w:t>
      </w:r>
    </w:p>
    <w:p>
      <w:pPr>
        <w:tabs>
          <w:tab w:val="left" w:pos="10490"/>
        </w:tabs>
        <w:ind w:left="-3" w:leftChars="-1" w:right="708" w:rightChars="253" w:firstLine="0" w:firstLineChars="0"/>
        <w:jc w:val="center"/>
      </w:pPr>
      <w:r>
        <w:drawing>
          <wp:inline distT="0" distB="0" distL="0" distR="0">
            <wp:extent cx="5605780" cy="4362450"/>
            <wp:effectExtent l="0" t="0" r="7620" b="635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22">
                      <a:extLst>
                        <a:ext uri="{28A0092B-C50C-407E-A947-70E740481C1C}">
                          <a14:useLocalDpi xmlns:a14="http://schemas.microsoft.com/office/drawing/2010/main" val="false"/>
                        </a:ext>
                      </a:extLst>
                    </a:blip>
                    <a:srcRect l="14298" t="2438" r="14784" b="2438"/>
                    <a:stretch>
                      <a:fillRect/>
                    </a:stretch>
                  </pic:blipFill>
                  <pic:spPr>
                    <a:xfrm>
                      <a:off x="0" y="0"/>
                      <a:ext cx="5608201" cy="4364334"/>
                    </a:xfrm>
                    <a:prstGeom prst="rect">
                      <a:avLst/>
                    </a:prstGeom>
                    <a:ln>
                      <a:noFill/>
                    </a:ln>
                  </pic:spPr>
                </pic:pic>
              </a:graphicData>
            </a:graphic>
          </wp:inline>
        </w:drawing>
      </w:r>
    </w:p>
    <w:p>
      <w:pPr>
        <w:pStyle w:val="60"/>
      </w:pPr>
      <w:r>
        <w:rPr>
          <w:rFonts w:hint="eastAsia"/>
        </w:rPr>
        <w:t>图2-9云和县城市路网图</w:t>
      </w:r>
    </w:p>
    <w:p>
      <w:pPr>
        <w:pStyle w:val="60"/>
      </w:pPr>
    </w:p>
    <w:p>
      <w:pPr>
        <w:pStyle w:val="60"/>
      </w:pPr>
      <w:r>
        <w:rPr>
          <w:rFonts w:hint="eastAsia"/>
        </w:rPr>
        <w:t>表</w:t>
      </w:r>
      <w:r>
        <w:t>2-</w:t>
      </w:r>
      <w:r>
        <w:rPr>
          <w:rFonts w:hint="eastAsia"/>
        </w:rPr>
        <w:t>3“十二五”期间云和公路建设完成现状</w:t>
      </w:r>
    </w:p>
    <w:tbl>
      <w:tblPr>
        <w:tblStyle w:val="23"/>
        <w:tblW w:w="88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2615"/>
        <w:gridCol w:w="1282"/>
        <w:gridCol w:w="2311"/>
        <w:gridCol w:w="732"/>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76" w:hRule="atLeast"/>
          <w:jc w:val="center"/>
        </w:trPr>
        <w:tc>
          <w:tcPr>
            <w:tcW w:w="437"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序号</w:t>
            </w:r>
          </w:p>
        </w:tc>
        <w:tc>
          <w:tcPr>
            <w:tcW w:w="2615"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项目名称</w:t>
            </w:r>
          </w:p>
        </w:tc>
        <w:tc>
          <w:tcPr>
            <w:tcW w:w="1282"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计划总投资</w:t>
            </w:r>
          </w:p>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（万元）</w:t>
            </w:r>
          </w:p>
        </w:tc>
        <w:tc>
          <w:tcPr>
            <w:tcW w:w="2311"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建设规模</w:t>
            </w:r>
          </w:p>
        </w:tc>
        <w:tc>
          <w:tcPr>
            <w:tcW w:w="732"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公路</w:t>
            </w:r>
          </w:p>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等级</w:t>
            </w:r>
          </w:p>
        </w:tc>
        <w:tc>
          <w:tcPr>
            <w:tcW w:w="1489"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“十二五”完成投资（万元）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w:t>
            </w:r>
          </w:p>
        </w:tc>
        <w:tc>
          <w:tcPr>
            <w:tcW w:w="2615" w:type="dxa"/>
            <w:vAlign w:val="center"/>
          </w:tcPr>
          <w:p>
            <w:pPr>
              <w:widowControl/>
              <w:spacing w:line="240" w:lineRule="auto"/>
              <w:ind w:firstLine="480" w:firstLineChars="0"/>
              <w:jc w:val="center"/>
              <w:rPr>
                <w:rFonts w:ascii="宋体" w:hAnsi="宋体" w:cs="宋体"/>
                <w:sz w:val="21"/>
                <w:szCs w:val="21"/>
              </w:rPr>
            </w:pPr>
            <w:r>
              <w:rPr>
                <w:rFonts w:hint="eastAsia" w:ascii="宋体" w:hAnsi="宋体" w:cs="宋体"/>
                <w:sz w:val="21"/>
                <w:szCs w:val="21"/>
              </w:rPr>
              <w:t>云景高速（云和段）</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73074</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6.23公里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高速</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55474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丽龙高速公路云和段老矮1号桥、老矮2号桥独柱墩改造工程</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180</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w:t>
            </w:r>
          </w:p>
        </w:tc>
        <w:tc>
          <w:tcPr>
            <w:tcW w:w="2615"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复兴路（53省道云和县城过境段公路）工程</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31242</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8.25公里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一级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31242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w:t>
            </w:r>
          </w:p>
        </w:tc>
        <w:tc>
          <w:tcPr>
            <w:tcW w:w="2615" w:type="dxa"/>
            <w:vAlign w:val="center"/>
          </w:tcPr>
          <w:p>
            <w:pPr>
              <w:widowControl/>
              <w:spacing w:line="240" w:lineRule="auto"/>
              <w:ind w:firstLine="0" w:firstLineChars="0"/>
              <w:jc w:val="center"/>
              <w:rPr>
                <w:rFonts w:ascii="宋体" w:hAnsi="宋体" w:cs="宋体"/>
                <w:sz w:val="21"/>
                <w:szCs w:val="21"/>
              </w:rPr>
            </w:pPr>
            <w:r>
              <w:rPr>
                <w:rFonts w:hint="eastAsia" w:ascii="宋体" w:hAnsi="宋体" w:cs="宋体"/>
                <w:sz w:val="21"/>
                <w:szCs w:val="21"/>
              </w:rPr>
              <w:t>52省道岚头岭段改建工程（云和段）</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9032</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2.7公里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二级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9032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5</w:t>
            </w:r>
          </w:p>
        </w:tc>
        <w:tc>
          <w:tcPr>
            <w:tcW w:w="2615" w:type="dxa"/>
            <w:vAlign w:val="center"/>
          </w:tcPr>
          <w:p>
            <w:pPr>
              <w:widowControl/>
              <w:spacing w:line="240" w:lineRule="auto"/>
              <w:ind w:firstLine="0" w:firstLineChars="0"/>
              <w:jc w:val="center"/>
              <w:rPr>
                <w:rFonts w:ascii="宋体" w:hAnsi="宋体" w:cs="宋体"/>
                <w:sz w:val="21"/>
                <w:szCs w:val="21"/>
              </w:rPr>
            </w:pPr>
            <w:r>
              <w:rPr>
                <w:rFonts w:hint="eastAsia" w:ascii="宋体" w:hAnsi="宋体" w:cs="宋体"/>
                <w:sz w:val="21"/>
                <w:szCs w:val="21"/>
              </w:rPr>
              <w:t>云龙公路（云和县城至新殿垟段改建工程）</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5463</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2.28公里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二级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6</w:t>
            </w:r>
          </w:p>
        </w:tc>
        <w:tc>
          <w:tcPr>
            <w:tcW w:w="2615" w:type="dxa"/>
            <w:vAlign w:val="center"/>
          </w:tcPr>
          <w:p>
            <w:pPr>
              <w:widowControl/>
              <w:spacing w:line="240" w:lineRule="auto"/>
              <w:ind w:firstLine="0" w:firstLineChars="0"/>
              <w:jc w:val="center"/>
              <w:rPr>
                <w:rFonts w:ascii="宋体" w:hAnsi="宋体" w:cs="宋体"/>
                <w:sz w:val="21"/>
                <w:szCs w:val="21"/>
              </w:rPr>
            </w:pPr>
            <w:r>
              <w:rPr>
                <w:rFonts w:hint="eastAsia" w:ascii="宋体" w:hAnsi="宋体" w:cs="宋体"/>
                <w:sz w:val="21"/>
                <w:szCs w:val="21"/>
              </w:rPr>
              <w:t>2011-2015年路面大中修工程</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4910</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5834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7</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2011-2015年安保工程</w:t>
            </w:r>
          </w:p>
        </w:tc>
        <w:tc>
          <w:tcPr>
            <w:tcW w:w="1282"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2944</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460" w:lineRule="exact"/>
              <w:ind w:firstLine="0" w:firstLineChars="0"/>
              <w:jc w:val="center"/>
              <w:rPr>
                <w:rFonts w:ascii="宋体" w:hAnsi="宋体" w:cs="黑体"/>
                <w:kern w:val="2"/>
                <w:sz w:val="21"/>
                <w:szCs w:val="21"/>
              </w:rPr>
            </w:pPr>
          </w:p>
        </w:tc>
        <w:tc>
          <w:tcPr>
            <w:tcW w:w="1489"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2412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8</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2011-2015年水毁修复工程</w:t>
            </w:r>
          </w:p>
        </w:tc>
        <w:tc>
          <w:tcPr>
            <w:tcW w:w="1282"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3150</w:t>
            </w:r>
          </w:p>
        </w:tc>
        <w:tc>
          <w:tcPr>
            <w:tcW w:w="2311" w:type="dxa"/>
            <w:vAlign w:val="center"/>
          </w:tcPr>
          <w:p>
            <w:pPr>
              <w:spacing w:line="460" w:lineRule="exact"/>
              <w:ind w:firstLine="0" w:firstLineChars="0"/>
              <w:jc w:val="center"/>
              <w:rPr>
                <w:rFonts w:ascii="宋体" w:hAnsi="宋体" w:cs="黑体"/>
                <w:kern w:val="2"/>
                <w:sz w:val="21"/>
                <w:szCs w:val="21"/>
              </w:rPr>
            </w:pPr>
          </w:p>
        </w:tc>
        <w:tc>
          <w:tcPr>
            <w:tcW w:w="732" w:type="dxa"/>
            <w:vAlign w:val="center"/>
          </w:tcPr>
          <w:p>
            <w:pPr>
              <w:spacing w:line="460" w:lineRule="exact"/>
              <w:ind w:firstLine="0" w:firstLineChars="0"/>
              <w:jc w:val="center"/>
              <w:rPr>
                <w:rFonts w:ascii="宋体" w:hAnsi="宋体" w:cs="黑体"/>
                <w:kern w:val="2"/>
                <w:sz w:val="21"/>
                <w:szCs w:val="21"/>
              </w:rPr>
            </w:pPr>
          </w:p>
        </w:tc>
        <w:tc>
          <w:tcPr>
            <w:tcW w:w="1489"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2873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9</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2011-2015年绿化及文明公路工程</w:t>
            </w:r>
          </w:p>
        </w:tc>
        <w:tc>
          <w:tcPr>
            <w:tcW w:w="1282"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400</w:t>
            </w:r>
          </w:p>
        </w:tc>
        <w:tc>
          <w:tcPr>
            <w:tcW w:w="2311" w:type="dxa"/>
            <w:vAlign w:val="center"/>
          </w:tcPr>
          <w:p>
            <w:pPr>
              <w:spacing w:line="460" w:lineRule="exact"/>
              <w:ind w:firstLine="0" w:firstLineChars="0"/>
              <w:jc w:val="center"/>
              <w:rPr>
                <w:rFonts w:ascii="宋体" w:hAnsi="宋体" w:cs="黑体"/>
                <w:kern w:val="2"/>
                <w:sz w:val="21"/>
                <w:szCs w:val="21"/>
              </w:rPr>
            </w:pPr>
          </w:p>
        </w:tc>
        <w:tc>
          <w:tcPr>
            <w:tcW w:w="732" w:type="dxa"/>
            <w:vAlign w:val="center"/>
          </w:tcPr>
          <w:p>
            <w:pPr>
              <w:spacing w:line="460" w:lineRule="exact"/>
              <w:ind w:firstLine="0" w:firstLineChars="0"/>
              <w:jc w:val="center"/>
              <w:rPr>
                <w:rFonts w:ascii="宋体" w:hAnsi="宋体" w:cs="黑体"/>
                <w:kern w:val="2"/>
                <w:sz w:val="21"/>
                <w:szCs w:val="21"/>
              </w:rPr>
            </w:pPr>
          </w:p>
        </w:tc>
        <w:tc>
          <w:tcPr>
            <w:tcW w:w="1489" w:type="dxa"/>
            <w:vAlign w:val="center"/>
          </w:tcPr>
          <w:p>
            <w:pPr>
              <w:spacing w:line="460" w:lineRule="exact"/>
              <w:ind w:firstLine="0" w:firstLineChars="0"/>
              <w:jc w:val="center"/>
              <w:rPr>
                <w:rFonts w:ascii="宋体" w:hAnsi="宋体" w:cs="黑体"/>
                <w:kern w:val="2"/>
                <w:sz w:val="21"/>
                <w:szCs w:val="21"/>
              </w:rPr>
            </w:pPr>
            <w:r>
              <w:rPr>
                <w:rFonts w:hint="eastAsia" w:ascii="宋体" w:hAnsi="宋体" w:cs="黑体"/>
                <w:kern w:val="2"/>
                <w:sz w:val="21"/>
                <w:szCs w:val="21"/>
              </w:rPr>
              <w:t>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10</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2011-2015年提升改造工程</w:t>
            </w:r>
          </w:p>
        </w:tc>
        <w:tc>
          <w:tcPr>
            <w:tcW w:w="1282" w:type="dxa"/>
            <w:vAlign w:val="center"/>
          </w:tcPr>
          <w:p>
            <w:pPr>
              <w:spacing w:line="300" w:lineRule="exact"/>
              <w:ind w:firstLine="0" w:firstLineChars="0"/>
              <w:jc w:val="center"/>
              <w:rPr>
                <w:rFonts w:ascii="宋体" w:hAnsi="宋体" w:cs="黑体"/>
                <w:kern w:val="2"/>
                <w:sz w:val="21"/>
                <w:szCs w:val="21"/>
              </w:rPr>
            </w:pPr>
            <w:r>
              <w:rPr>
                <w:rFonts w:hint="eastAsia" w:ascii="宋体" w:hAnsi="宋体" w:cs="黑体"/>
                <w:kern w:val="2"/>
                <w:sz w:val="21"/>
                <w:szCs w:val="21"/>
              </w:rPr>
              <w:t>3256</w:t>
            </w:r>
          </w:p>
        </w:tc>
        <w:tc>
          <w:tcPr>
            <w:tcW w:w="2311" w:type="dxa"/>
            <w:vAlign w:val="center"/>
          </w:tcPr>
          <w:p>
            <w:pPr>
              <w:spacing w:line="300" w:lineRule="exact"/>
              <w:ind w:firstLine="0" w:firstLineChars="0"/>
              <w:jc w:val="center"/>
              <w:rPr>
                <w:rFonts w:ascii="宋体" w:hAnsi="宋体" w:cs="黑体"/>
                <w:kern w:val="2"/>
                <w:sz w:val="21"/>
                <w:szCs w:val="21"/>
              </w:rPr>
            </w:pPr>
          </w:p>
        </w:tc>
        <w:tc>
          <w:tcPr>
            <w:tcW w:w="732" w:type="dxa"/>
            <w:vAlign w:val="center"/>
          </w:tcPr>
          <w:p>
            <w:pPr>
              <w:spacing w:line="460" w:lineRule="exact"/>
              <w:ind w:firstLine="0" w:firstLineChars="0"/>
              <w:jc w:val="center"/>
              <w:rPr>
                <w:rFonts w:ascii="宋体" w:hAnsi="宋体" w:cs="黑体"/>
                <w:kern w:val="2"/>
                <w:sz w:val="21"/>
                <w:szCs w:val="21"/>
              </w:rPr>
            </w:pPr>
          </w:p>
        </w:tc>
        <w:tc>
          <w:tcPr>
            <w:tcW w:w="1489" w:type="dxa"/>
            <w:vAlign w:val="center"/>
          </w:tcPr>
          <w:p>
            <w:pPr>
              <w:spacing w:line="300" w:lineRule="exact"/>
              <w:ind w:firstLine="0" w:firstLineChars="0"/>
              <w:jc w:val="center"/>
              <w:rPr>
                <w:rFonts w:ascii="宋体" w:hAnsi="宋体" w:cs="黑体"/>
                <w:kern w:val="2"/>
                <w:sz w:val="21"/>
                <w:szCs w:val="21"/>
              </w:rPr>
            </w:pPr>
            <w:r>
              <w:rPr>
                <w:rFonts w:hint="eastAsia" w:ascii="宋体" w:hAnsi="宋体" w:cs="黑体"/>
                <w:kern w:val="2"/>
                <w:sz w:val="21"/>
                <w:szCs w:val="21"/>
              </w:rPr>
              <w:t>3563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11</w:t>
            </w:r>
          </w:p>
        </w:tc>
        <w:tc>
          <w:tcPr>
            <w:tcW w:w="2615" w:type="dxa"/>
            <w:vAlign w:val="center"/>
          </w:tcPr>
          <w:p>
            <w:pPr>
              <w:widowControl/>
              <w:spacing w:line="400" w:lineRule="atLeast"/>
              <w:ind w:firstLine="0" w:firstLineChars="0"/>
              <w:jc w:val="center"/>
              <w:rPr>
                <w:rFonts w:ascii="宋体" w:hAnsi="宋体" w:cs="宋体"/>
                <w:sz w:val="21"/>
                <w:szCs w:val="21"/>
              </w:rPr>
            </w:pPr>
            <w:r>
              <w:rPr>
                <w:rFonts w:hint="eastAsia" w:ascii="宋体" w:hAnsi="宋体" w:cs="宋体"/>
                <w:sz w:val="21"/>
                <w:szCs w:val="21"/>
              </w:rPr>
              <w:t>2011-2015年公路养护站房建设工程</w:t>
            </w:r>
          </w:p>
        </w:tc>
        <w:tc>
          <w:tcPr>
            <w:tcW w:w="1282" w:type="dxa"/>
            <w:vAlign w:val="center"/>
          </w:tcPr>
          <w:p>
            <w:pPr>
              <w:spacing w:line="300" w:lineRule="exact"/>
              <w:ind w:firstLine="0" w:firstLineChars="0"/>
              <w:jc w:val="center"/>
              <w:rPr>
                <w:rFonts w:ascii="宋体" w:hAnsi="宋体" w:cs="黑体"/>
                <w:kern w:val="2"/>
                <w:sz w:val="21"/>
                <w:szCs w:val="21"/>
              </w:rPr>
            </w:pPr>
            <w:r>
              <w:rPr>
                <w:rFonts w:hint="eastAsia" w:ascii="宋体" w:hAnsi="宋体" w:cs="黑体"/>
                <w:kern w:val="2"/>
                <w:sz w:val="21"/>
                <w:szCs w:val="21"/>
              </w:rPr>
              <w:t>400</w:t>
            </w:r>
          </w:p>
        </w:tc>
        <w:tc>
          <w:tcPr>
            <w:tcW w:w="2311" w:type="dxa"/>
            <w:vAlign w:val="center"/>
          </w:tcPr>
          <w:p>
            <w:pPr>
              <w:spacing w:line="300" w:lineRule="exact"/>
              <w:ind w:firstLine="0" w:firstLineChars="0"/>
              <w:jc w:val="center"/>
              <w:rPr>
                <w:rFonts w:ascii="宋体" w:hAnsi="宋体" w:cs="黑体"/>
                <w:kern w:val="2"/>
                <w:sz w:val="21"/>
                <w:szCs w:val="21"/>
              </w:rPr>
            </w:pPr>
          </w:p>
        </w:tc>
        <w:tc>
          <w:tcPr>
            <w:tcW w:w="732" w:type="dxa"/>
            <w:vAlign w:val="center"/>
          </w:tcPr>
          <w:p>
            <w:pPr>
              <w:spacing w:line="460" w:lineRule="exact"/>
              <w:ind w:firstLine="0" w:firstLineChars="0"/>
              <w:jc w:val="center"/>
              <w:rPr>
                <w:rFonts w:ascii="宋体" w:hAnsi="宋体" w:cs="黑体"/>
                <w:kern w:val="2"/>
                <w:sz w:val="21"/>
                <w:szCs w:val="21"/>
              </w:rPr>
            </w:pPr>
          </w:p>
        </w:tc>
        <w:tc>
          <w:tcPr>
            <w:tcW w:w="1489" w:type="dxa"/>
            <w:vAlign w:val="center"/>
          </w:tcPr>
          <w:p>
            <w:pPr>
              <w:spacing w:line="300" w:lineRule="exact"/>
              <w:ind w:firstLine="0" w:firstLineChars="0"/>
              <w:jc w:val="center"/>
              <w:rPr>
                <w:rFonts w:ascii="宋体" w:hAnsi="宋体" w:cs="黑体"/>
                <w:kern w:val="2"/>
                <w:sz w:val="21"/>
                <w:szCs w:val="21"/>
              </w:rPr>
            </w:pPr>
            <w:r>
              <w:rPr>
                <w:rFonts w:hint="eastAsia" w:ascii="宋体" w:hAnsi="宋体" w:cs="黑体"/>
                <w:kern w:val="2"/>
                <w:sz w:val="21"/>
                <w:szCs w:val="21"/>
              </w:rPr>
              <w:t>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p>
        </w:tc>
        <w:tc>
          <w:tcPr>
            <w:tcW w:w="2615"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小计</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134051</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114052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p>
        </w:tc>
        <w:tc>
          <w:tcPr>
            <w:tcW w:w="2615"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农村联网公路</w:t>
            </w:r>
          </w:p>
        </w:tc>
        <w:tc>
          <w:tcPr>
            <w:tcW w:w="1282" w:type="dxa"/>
            <w:vAlign w:val="center"/>
          </w:tcPr>
          <w:p>
            <w:pPr>
              <w:spacing w:line="240" w:lineRule="auto"/>
              <w:ind w:firstLine="0" w:firstLineChars="0"/>
              <w:jc w:val="center"/>
              <w:rPr>
                <w:rFonts w:ascii="宋体" w:hAnsi="宋体" w:cs="黑体"/>
                <w:kern w:val="2"/>
                <w:sz w:val="21"/>
                <w:szCs w:val="21"/>
              </w:rPr>
            </w:pP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栗溪至下垟</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195</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3.8公里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沙铺垄电站至回龙山</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185</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3.9公里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3</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石浦至长汀（一期）</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115</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1.6公里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联合至张兰</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160</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2.4公里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5</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沙溪至隔溪寮</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60</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0.7公里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6</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梅垄至新岭</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75</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1.5公里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7</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联合至竹子坪</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249</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8</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杨村至南坑</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240</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4.2公里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9</w:t>
            </w: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田铺至高山</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400</w:t>
            </w:r>
          </w:p>
        </w:tc>
        <w:tc>
          <w:tcPr>
            <w:tcW w:w="2311"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8公里</w:t>
            </w:r>
          </w:p>
        </w:tc>
        <w:tc>
          <w:tcPr>
            <w:tcW w:w="73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四级</w:t>
            </w: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p>
        </w:tc>
        <w:tc>
          <w:tcPr>
            <w:tcW w:w="2615" w:type="dxa"/>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小计</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1679</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1679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7" w:type="dxa"/>
            <w:vAlign w:val="center"/>
          </w:tcPr>
          <w:p>
            <w:pPr>
              <w:spacing w:line="240" w:lineRule="auto"/>
              <w:ind w:firstLine="0" w:firstLineChars="0"/>
              <w:jc w:val="center"/>
              <w:rPr>
                <w:rFonts w:ascii="宋体" w:hAnsi="宋体" w:cs="黑体"/>
                <w:kern w:val="2"/>
                <w:sz w:val="21"/>
                <w:szCs w:val="21"/>
              </w:rPr>
            </w:pPr>
          </w:p>
        </w:tc>
        <w:tc>
          <w:tcPr>
            <w:tcW w:w="2615" w:type="dxa"/>
            <w:vAlign w:val="center"/>
          </w:tcPr>
          <w:p>
            <w:pPr>
              <w:spacing w:line="240" w:lineRule="auto"/>
              <w:ind w:firstLine="0" w:firstLineChars="0"/>
              <w:jc w:val="center"/>
              <w:rPr>
                <w:rFonts w:ascii="宋体" w:hAnsi="宋体" w:cs="黑体"/>
                <w:b/>
                <w:kern w:val="2"/>
                <w:sz w:val="21"/>
                <w:szCs w:val="21"/>
              </w:rPr>
            </w:pPr>
            <w:r>
              <w:rPr>
                <w:rFonts w:hint="eastAsia" w:ascii="宋体" w:hAnsi="宋体" w:cs="黑体"/>
                <w:b/>
                <w:kern w:val="2"/>
                <w:sz w:val="21"/>
                <w:szCs w:val="21"/>
              </w:rPr>
              <w:t>合计</w:t>
            </w:r>
          </w:p>
        </w:tc>
        <w:tc>
          <w:tcPr>
            <w:tcW w:w="1282"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135730</w:t>
            </w:r>
          </w:p>
        </w:tc>
        <w:tc>
          <w:tcPr>
            <w:tcW w:w="2311" w:type="dxa"/>
            <w:vAlign w:val="center"/>
          </w:tcPr>
          <w:p>
            <w:pPr>
              <w:spacing w:line="240" w:lineRule="auto"/>
              <w:ind w:firstLine="0" w:firstLineChars="0"/>
              <w:jc w:val="center"/>
              <w:rPr>
                <w:rFonts w:ascii="宋体" w:hAnsi="宋体" w:cs="黑体"/>
                <w:kern w:val="2"/>
                <w:sz w:val="21"/>
                <w:szCs w:val="21"/>
              </w:rPr>
            </w:pPr>
          </w:p>
        </w:tc>
        <w:tc>
          <w:tcPr>
            <w:tcW w:w="732" w:type="dxa"/>
            <w:vAlign w:val="center"/>
          </w:tcPr>
          <w:p>
            <w:pPr>
              <w:spacing w:line="240" w:lineRule="auto"/>
              <w:ind w:firstLine="0" w:firstLineChars="0"/>
              <w:jc w:val="center"/>
              <w:rPr>
                <w:rFonts w:ascii="宋体" w:hAnsi="宋体" w:cs="黑体"/>
                <w:kern w:val="2"/>
                <w:sz w:val="21"/>
                <w:szCs w:val="21"/>
              </w:rPr>
            </w:pPr>
          </w:p>
        </w:tc>
        <w:tc>
          <w:tcPr>
            <w:tcW w:w="1489" w:type="dxa"/>
            <w:vAlign w:val="center"/>
          </w:tcPr>
          <w:p>
            <w:pPr>
              <w:spacing w:line="240" w:lineRule="auto"/>
              <w:ind w:firstLine="0" w:firstLineChars="0"/>
              <w:jc w:val="center"/>
              <w:rPr>
                <w:rFonts w:ascii="宋体" w:hAnsi="宋体" w:cs="黑体"/>
                <w:kern w:val="2"/>
                <w:sz w:val="21"/>
                <w:szCs w:val="21"/>
              </w:rPr>
            </w:pPr>
            <w:r>
              <w:rPr>
                <w:rFonts w:hint="eastAsia" w:ascii="宋体" w:hAnsi="宋体" w:cs="黑体"/>
                <w:kern w:val="2"/>
                <w:sz w:val="21"/>
                <w:szCs w:val="21"/>
              </w:rPr>
              <w:t>115731</w:t>
            </w:r>
          </w:p>
        </w:tc>
      </w:tr>
    </w:tbl>
    <w:p>
      <w:pPr>
        <w:ind w:firstLine="0" w:firstLineChars="0"/>
        <w:rPr>
          <w:b/>
        </w:rPr>
      </w:pPr>
      <w:r>
        <w:rPr>
          <w:b/>
        </w:rPr>
        <w:t>2</w:t>
      </w:r>
      <w:r>
        <w:rPr>
          <w:rFonts w:hint="eastAsia"/>
          <w:b/>
        </w:rPr>
        <w:t>.客运站场及枢纽</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201</w:t>
      </w:r>
      <w:r>
        <w:rPr>
          <w:rFonts w:hint="eastAsia"/>
          <w:color w:val="000000" w:themeColor="text1"/>
          <w14:textFill>
            <w14:solidFill>
              <w14:schemeClr w14:val="tx1"/>
            </w14:solidFill>
          </w14:textFill>
        </w:rPr>
        <w:t>5年底，云和县已建成二级客运站场</w:t>
      </w:r>
      <w:r>
        <w:rPr>
          <w:color w:val="000000" w:themeColor="text1"/>
          <w14:textFill>
            <w14:solidFill>
              <w14:schemeClr w14:val="tx1"/>
            </w14:solidFill>
          </w14:textFill>
        </w:rPr>
        <w:t xml:space="preserve"> 1</w:t>
      </w:r>
      <w:r>
        <w:rPr>
          <w:rFonts w:hint="eastAsia"/>
          <w:color w:val="000000" w:themeColor="text1"/>
          <w14:textFill>
            <w14:solidFill>
              <w14:schemeClr w14:val="tx1"/>
            </w14:solidFill>
          </w14:textFill>
        </w:rPr>
        <w:t>个，发车位3个、日发203个班次，主要发往上海、杭州、宁波、温州、金华、义乌、丽水、景宁、龙泉、松阳及县内乡镇等地。该客运站设计日旅客发送量3800人次，年平均日旅客发送量为2900人次。此外，云和县共建有农村客货运一体站13个（分别是龙门、张家地、赤石、包山、小顺、崇头、大湾、黄源、沈庄、安溪、梅湾、雾溪、紧水滩）。在县城公交站场设施建设方面，到2015年底云和县共建设港湾式停靠站111个，至今仍未建有公交首末站和公交停保场。</w:t>
      </w:r>
    </w:p>
    <w:p>
      <w:pPr>
        <w:ind w:firstLine="0" w:firstLineChars="0"/>
        <w:rPr>
          <w:color w:val="000000" w:themeColor="text1"/>
          <w14:textFill>
            <w14:solidFill>
              <w14:schemeClr w14:val="tx1"/>
            </w14:solidFill>
          </w14:textFill>
        </w:rPr>
      </w:pPr>
      <w:r>
        <w:rPr>
          <w:color w:val="FF0000"/>
        </w:rPr>
        <w:drawing>
          <wp:inline distT="0" distB="0" distL="0" distR="0">
            <wp:extent cx="5612130" cy="3752850"/>
            <wp:effectExtent l="0" t="0" r="1270" b="635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23">
                      <a:extLst>
                        <a:ext uri="{28A0092B-C50C-407E-A947-70E740481C1C}">
                          <a14:useLocalDpi xmlns:a14="http://schemas.microsoft.com/office/drawing/2010/main" val="false"/>
                        </a:ext>
                      </a:extLst>
                    </a:blip>
                    <a:stretch>
                      <a:fillRect/>
                    </a:stretch>
                  </pic:blipFill>
                  <pic:spPr>
                    <a:xfrm>
                      <a:off x="0" y="0"/>
                      <a:ext cx="5612130" cy="3752850"/>
                    </a:xfrm>
                    <a:prstGeom prst="rect">
                      <a:avLst/>
                    </a:prstGeom>
                  </pic:spPr>
                </pic:pic>
              </a:graphicData>
            </a:graphic>
          </wp:inline>
        </w:drawing>
      </w:r>
    </w:p>
    <w:p>
      <w:pPr>
        <w:pStyle w:val="60"/>
      </w:pPr>
      <w:r>
        <w:rPr>
          <w:rFonts w:hint="eastAsia"/>
        </w:rPr>
        <w:t>图2-10云和县站场及枢纽</w:t>
      </w:r>
    </w:p>
    <w:p>
      <w:pPr>
        <w:pStyle w:val="60"/>
      </w:pPr>
    </w:p>
    <w:p>
      <w:pPr>
        <w:pStyle w:val="60"/>
      </w:pPr>
      <w:r>
        <w:rPr>
          <w:rFonts w:hint="eastAsia"/>
        </w:rPr>
        <w:t>表2-4“十二五”期间云和公路站场建设完成现状</w:t>
      </w:r>
    </w:p>
    <w:tbl>
      <w:tblPr>
        <w:tblStyle w:val="23"/>
        <w:tblW w:w="86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194"/>
        <w:gridCol w:w="1049"/>
        <w:gridCol w:w="3259"/>
        <w:gridCol w:w="1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450" w:type="dxa"/>
            <w:shd w:val="clear" w:color="auto" w:fill="D8D8D8" w:themeFill="background1" w:themeFillShade="D9"/>
            <w:vAlign w:val="center"/>
          </w:tcPr>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序号</w:t>
            </w:r>
          </w:p>
        </w:tc>
        <w:tc>
          <w:tcPr>
            <w:tcW w:w="2194" w:type="dxa"/>
            <w:shd w:val="clear" w:color="auto" w:fill="D8D8D8" w:themeFill="background1" w:themeFillShade="D9"/>
            <w:vAlign w:val="center"/>
          </w:tcPr>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项目名称</w:t>
            </w:r>
          </w:p>
        </w:tc>
        <w:tc>
          <w:tcPr>
            <w:tcW w:w="1049" w:type="dxa"/>
            <w:shd w:val="clear" w:color="auto" w:fill="D8D8D8" w:themeFill="background1" w:themeFillShade="D9"/>
            <w:vAlign w:val="center"/>
          </w:tcPr>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总投资</w:t>
            </w:r>
          </w:p>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（万元）</w:t>
            </w:r>
          </w:p>
        </w:tc>
        <w:tc>
          <w:tcPr>
            <w:tcW w:w="3259" w:type="dxa"/>
            <w:shd w:val="clear" w:color="auto" w:fill="D8D8D8" w:themeFill="background1" w:themeFillShade="D9"/>
            <w:vAlign w:val="center"/>
          </w:tcPr>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建设规模</w:t>
            </w:r>
          </w:p>
          <w:p>
            <w:pPr>
              <w:spacing w:line="240" w:lineRule="auto"/>
              <w:ind w:firstLine="0" w:firstLineChars="0"/>
              <w:jc w:val="center"/>
              <w:rPr>
                <w:rFonts w:ascii="Calibri" w:hAnsi="Calibri" w:cs="黑体"/>
                <w:b/>
                <w:kern w:val="2"/>
                <w:sz w:val="21"/>
                <w:szCs w:val="21"/>
              </w:rPr>
            </w:pPr>
          </w:p>
        </w:tc>
        <w:tc>
          <w:tcPr>
            <w:tcW w:w="1690" w:type="dxa"/>
            <w:shd w:val="clear" w:color="auto" w:fill="D8D8D8" w:themeFill="background1" w:themeFillShade="D9"/>
            <w:vAlign w:val="center"/>
          </w:tcPr>
          <w:p>
            <w:pPr>
              <w:spacing w:line="240" w:lineRule="auto"/>
              <w:ind w:firstLine="0" w:firstLineChars="0"/>
              <w:jc w:val="center"/>
              <w:rPr>
                <w:rFonts w:ascii="Calibri" w:hAnsi="Calibri" w:cs="黑体"/>
                <w:b/>
                <w:kern w:val="2"/>
                <w:sz w:val="21"/>
                <w:szCs w:val="21"/>
              </w:rPr>
            </w:pPr>
            <w:r>
              <w:rPr>
                <w:rFonts w:hint="eastAsia" w:ascii="Calibri" w:hAnsi="Calibri" w:cs="黑体"/>
                <w:b/>
                <w:kern w:val="2"/>
                <w:sz w:val="21"/>
                <w:szCs w:val="21"/>
              </w:rPr>
              <w:t>“十二五”完成投资（万元）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1</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崇头客货运一体站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280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占地3000㎡、建筑500㎡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2</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赤石客货运一体站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195</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占地1700㎡、建筑370㎡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3</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沈庄客货运一体站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110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4</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大湾客货运一体站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5</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黄源客货运一体站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6</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雾溪客货运一体站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7</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安溪客货运一体站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8</w:t>
            </w:r>
          </w:p>
        </w:tc>
        <w:tc>
          <w:tcPr>
            <w:tcW w:w="2194" w:type="dxa"/>
            <w:vAlign w:val="center"/>
          </w:tcPr>
          <w:p>
            <w:pPr>
              <w:spacing w:line="320" w:lineRule="exact"/>
              <w:ind w:firstLine="0" w:firstLineChars="0"/>
              <w:rPr>
                <w:rFonts w:ascii="Calibri" w:hAnsi="Calibri" w:cs="黑体"/>
                <w:kern w:val="2"/>
                <w:sz w:val="21"/>
                <w:szCs w:val="22"/>
              </w:rPr>
            </w:pPr>
            <w:r>
              <w:rPr>
                <w:rFonts w:hint="eastAsia" w:ascii="Calibri" w:hAnsi="Calibri" w:cs="黑体"/>
                <w:kern w:val="2"/>
                <w:sz w:val="21"/>
                <w:szCs w:val="22"/>
              </w:rPr>
              <w:t>紧水滩客货运一体站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130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9</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梅湾客货运一体站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110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占地1500㎡、建筑500㎡</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10</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公交车候车亭</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325</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130个</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11</w:t>
            </w:r>
          </w:p>
        </w:tc>
        <w:tc>
          <w:tcPr>
            <w:tcW w:w="2194"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停靠站</w:t>
            </w:r>
          </w:p>
        </w:tc>
        <w:tc>
          <w:tcPr>
            <w:tcW w:w="104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200</w:t>
            </w:r>
          </w:p>
        </w:tc>
        <w:tc>
          <w:tcPr>
            <w:tcW w:w="3259"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100个</w:t>
            </w:r>
          </w:p>
        </w:tc>
        <w:tc>
          <w:tcPr>
            <w:tcW w:w="1690" w:type="dxa"/>
            <w:vAlign w:val="center"/>
          </w:tcPr>
          <w:p>
            <w:pPr>
              <w:spacing w:line="320" w:lineRule="exact"/>
              <w:ind w:firstLine="0" w:firstLineChars="0"/>
              <w:jc w:val="center"/>
              <w:rPr>
                <w:rFonts w:ascii="Calibri" w:hAnsi="Calibri" w:cs="黑体"/>
                <w:kern w:val="2"/>
                <w:sz w:val="21"/>
                <w:szCs w:val="22"/>
              </w:rPr>
            </w:pPr>
            <w:r>
              <w:rPr>
                <w:rFonts w:hint="eastAsia" w:ascii="Calibri" w:hAnsi="Calibri" w:cs="黑体"/>
                <w:kern w:val="2"/>
                <w:sz w:val="21"/>
                <w:szCs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12</w:t>
            </w:r>
          </w:p>
        </w:tc>
        <w:tc>
          <w:tcPr>
            <w:tcW w:w="2194" w:type="dxa"/>
            <w:vAlign w:val="center"/>
          </w:tcPr>
          <w:p>
            <w:pPr>
              <w:spacing w:line="300" w:lineRule="exact"/>
              <w:ind w:firstLine="0" w:firstLineChars="0"/>
              <w:jc w:val="center"/>
              <w:rPr>
                <w:rFonts w:ascii="Calibri" w:hAnsi="Calibri" w:cs="黑体"/>
                <w:kern w:val="2"/>
                <w:sz w:val="21"/>
                <w:szCs w:val="22"/>
              </w:rPr>
            </w:pPr>
            <w:r>
              <w:rPr>
                <w:rFonts w:hint="eastAsia" w:ascii="Calibri" w:hAnsi="Calibri" w:cs="黑体"/>
                <w:kern w:val="2"/>
                <w:sz w:val="21"/>
                <w:szCs w:val="22"/>
              </w:rPr>
              <w:t>云和县道路运输信息管理系统工程</w:t>
            </w:r>
          </w:p>
        </w:tc>
        <w:tc>
          <w:tcPr>
            <w:tcW w:w="1049"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653</w:t>
            </w:r>
          </w:p>
        </w:tc>
        <w:tc>
          <w:tcPr>
            <w:tcW w:w="3259" w:type="dxa"/>
            <w:vAlign w:val="center"/>
          </w:tcPr>
          <w:p>
            <w:pPr>
              <w:spacing w:line="380" w:lineRule="exact"/>
              <w:ind w:firstLine="0" w:firstLineChars="0"/>
              <w:jc w:val="center"/>
              <w:rPr>
                <w:rFonts w:ascii="Calibri" w:hAnsi="Calibri" w:cs="黑体"/>
                <w:kern w:val="2"/>
                <w:sz w:val="21"/>
                <w:szCs w:val="21"/>
              </w:rPr>
            </w:pPr>
            <w:r>
              <w:rPr>
                <w:rFonts w:hint="eastAsia" w:ascii="Calibri" w:hAnsi="Calibri" w:cs="黑体"/>
                <w:kern w:val="2"/>
                <w:sz w:val="21"/>
                <w:szCs w:val="21"/>
              </w:rPr>
              <w:t>原占地350㎡、建筑1000㎡办公楼改造及相关视频监控设备等</w:t>
            </w:r>
          </w:p>
        </w:tc>
        <w:tc>
          <w:tcPr>
            <w:tcW w:w="1690"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r>
              <w:rPr>
                <w:rFonts w:hint="eastAsia" w:ascii="Calibri" w:hAnsi="Calibri" w:cs="黑体"/>
                <w:kern w:val="2"/>
                <w:sz w:val="21"/>
                <w:szCs w:val="21"/>
              </w:rPr>
              <w:t>13</w:t>
            </w:r>
          </w:p>
        </w:tc>
        <w:tc>
          <w:tcPr>
            <w:tcW w:w="2194"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云和县小顺检查站（运管站）</w:t>
            </w:r>
          </w:p>
        </w:tc>
        <w:tc>
          <w:tcPr>
            <w:tcW w:w="1049"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498</w:t>
            </w:r>
          </w:p>
        </w:tc>
        <w:tc>
          <w:tcPr>
            <w:tcW w:w="3259"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占地2769.28㎡、建筑588.39㎡</w:t>
            </w:r>
          </w:p>
        </w:tc>
        <w:tc>
          <w:tcPr>
            <w:tcW w:w="1690" w:type="dxa"/>
            <w:vAlign w:val="center"/>
          </w:tcPr>
          <w:p>
            <w:pPr>
              <w:spacing w:line="380" w:lineRule="exact"/>
              <w:ind w:firstLine="0" w:firstLineChars="0"/>
              <w:jc w:val="center"/>
              <w:rPr>
                <w:rFonts w:ascii="Calibri" w:hAnsi="Calibri" w:cs="黑体"/>
                <w:kern w:val="2"/>
                <w:sz w:val="21"/>
                <w:szCs w:val="22"/>
              </w:rPr>
            </w:pPr>
            <w:r>
              <w:rPr>
                <w:rFonts w:hint="eastAsia" w:ascii="Calibri" w:hAnsi="Calibri" w:cs="黑体"/>
                <w:kern w:val="2"/>
                <w:sz w:val="21"/>
                <w:szCs w:val="22"/>
              </w:rPr>
              <w:t>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0" w:type="dxa"/>
            <w:vAlign w:val="center"/>
          </w:tcPr>
          <w:p>
            <w:pPr>
              <w:spacing w:line="240" w:lineRule="auto"/>
              <w:ind w:firstLine="0" w:firstLineChars="0"/>
              <w:jc w:val="center"/>
              <w:rPr>
                <w:rFonts w:ascii="Calibri" w:hAnsi="Calibri" w:cs="黑体"/>
                <w:kern w:val="2"/>
                <w:sz w:val="21"/>
                <w:szCs w:val="21"/>
              </w:rPr>
            </w:pPr>
          </w:p>
        </w:tc>
        <w:tc>
          <w:tcPr>
            <w:tcW w:w="2194" w:type="dxa"/>
            <w:vAlign w:val="center"/>
          </w:tcPr>
          <w:p>
            <w:pPr>
              <w:spacing w:line="240" w:lineRule="auto"/>
              <w:ind w:firstLine="0" w:firstLineChars="0"/>
              <w:jc w:val="center"/>
              <w:rPr>
                <w:rFonts w:ascii="Calibri" w:hAnsi="Calibri" w:cs="黑体"/>
                <w:kern w:val="2"/>
                <w:sz w:val="21"/>
                <w:szCs w:val="22"/>
              </w:rPr>
            </w:pPr>
            <w:r>
              <w:rPr>
                <w:rFonts w:hint="eastAsia" w:ascii="Calibri" w:hAnsi="Calibri" w:cs="黑体"/>
                <w:kern w:val="2"/>
                <w:sz w:val="21"/>
                <w:szCs w:val="22"/>
              </w:rPr>
              <w:t>合计</w:t>
            </w:r>
          </w:p>
        </w:tc>
        <w:tc>
          <w:tcPr>
            <w:tcW w:w="1049" w:type="dxa"/>
            <w:vAlign w:val="center"/>
          </w:tcPr>
          <w:p>
            <w:pPr>
              <w:spacing w:line="240" w:lineRule="auto"/>
              <w:ind w:firstLine="0" w:firstLineChars="0"/>
              <w:jc w:val="center"/>
              <w:rPr>
                <w:rFonts w:ascii="Calibri" w:hAnsi="Calibri" w:cs="黑体"/>
                <w:kern w:val="2"/>
                <w:sz w:val="21"/>
                <w:szCs w:val="22"/>
              </w:rPr>
            </w:pPr>
            <w:r>
              <w:rPr>
                <w:rFonts w:hint="eastAsia" w:ascii="Calibri" w:hAnsi="Calibri" w:cs="黑体"/>
                <w:kern w:val="2"/>
                <w:sz w:val="21"/>
                <w:szCs w:val="22"/>
              </w:rPr>
              <w:t>2901</w:t>
            </w:r>
          </w:p>
        </w:tc>
        <w:tc>
          <w:tcPr>
            <w:tcW w:w="3259" w:type="dxa"/>
            <w:vAlign w:val="center"/>
          </w:tcPr>
          <w:p>
            <w:pPr>
              <w:spacing w:line="240" w:lineRule="auto"/>
              <w:ind w:firstLine="0" w:firstLineChars="0"/>
              <w:jc w:val="center"/>
              <w:rPr>
                <w:rFonts w:ascii="Calibri" w:hAnsi="Calibri" w:cs="黑体"/>
                <w:kern w:val="2"/>
                <w:sz w:val="21"/>
                <w:szCs w:val="22"/>
              </w:rPr>
            </w:pPr>
          </w:p>
        </w:tc>
        <w:tc>
          <w:tcPr>
            <w:tcW w:w="1690" w:type="dxa"/>
            <w:vAlign w:val="center"/>
          </w:tcPr>
          <w:p>
            <w:pPr>
              <w:spacing w:line="240" w:lineRule="auto"/>
              <w:ind w:firstLine="0" w:firstLineChars="0"/>
              <w:jc w:val="center"/>
              <w:rPr>
                <w:rFonts w:ascii="Calibri" w:hAnsi="Calibri" w:cs="黑体"/>
                <w:kern w:val="2"/>
                <w:sz w:val="21"/>
                <w:szCs w:val="22"/>
              </w:rPr>
            </w:pPr>
            <w:r>
              <w:rPr>
                <w:rFonts w:hint="eastAsia" w:ascii="Calibri" w:hAnsi="Calibri" w:cs="黑体"/>
                <w:kern w:val="2"/>
                <w:sz w:val="21"/>
                <w:szCs w:val="22"/>
              </w:rPr>
              <w:t>2271</w:t>
            </w:r>
          </w:p>
        </w:tc>
      </w:tr>
    </w:tbl>
    <w:p>
      <w:pPr>
        <w:ind w:firstLine="0" w:firstLineChars="0"/>
        <w:rPr>
          <w:b/>
        </w:rPr>
      </w:pPr>
      <w:r>
        <w:rPr>
          <w:rFonts w:hint="eastAsia"/>
          <w:b/>
        </w:rPr>
        <w:t>3.货运站场</w:t>
      </w:r>
    </w:p>
    <w:p>
      <w:pPr>
        <w:ind w:firstLine="560"/>
      </w:pPr>
      <w:r>
        <w:rPr>
          <w:rFonts w:hint="eastAsia"/>
        </w:rPr>
        <w:t>截止到“十二五”末，云和县仅建有9个客货运一体站，兼具客运及货运站场功能。然而，全县货运设施建设依然较为滞后。原有的客货运一体站因城市规模扩大及产业结构调整已不太适应市场需求，同时，站场功能较为单一，无法满足现代物流业发展的需求，也不能满足全县“十三五”社会经济发展的需求。</w:t>
      </w:r>
    </w:p>
    <w:p>
      <w:pPr>
        <w:pStyle w:val="44"/>
        <w:spacing w:before="190" w:after="190"/>
        <w:outlineLvl w:val="2"/>
      </w:pPr>
      <w:bookmarkStart w:id="20" w:name="_Toc317843277"/>
      <w:r>
        <w:t xml:space="preserve">2.2.3 </w:t>
      </w:r>
      <w:r>
        <w:rPr>
          <w:rFonts w:hint="eastAsia"/>
        </w:rPr>
        <w:t>运输服务</w:t>
      </w:r>
      <w:bookmarkEnd w:id="20"/>
    </w:p>
    <w:p>
      <w:pPr>
        <w:ind w:firstLine="0" w:firstLineChars="0"/>
        <w:rPr>
          <w:b/>
        </w:rPr>
      </w:pPr>
      <w:r>
        <w:rPr>
          <w:b/>
        </w:rPr>
        <w:t>1</w:t>
      </w:r>
      <w:r>
        <w:rPr>
          <w:rFonts w:hint="eastAsia"/>
          <w:b/>
        </w:rPr>
        <w:t>.城乡客运</w:t>
      </w:r>
    </w:p>
    <w:p>
      <w:pPr>
        <w:ind w:firstLine="560"/>
      </w:pPr>
      <w:r>
        <w:rPr>
          <w:rFonts w:hint="eastAsia"/>
        </w:rPr>
        <w:t>“十二五”期间，云和县进一步优化城乡客运布局，切实加强城乡交通建设，提高农村班车通达率，</w:t>
      </w:r>
      <w:r>
        <w:t>201</w:t>
      </w:r>
      <w:r>
        <w:rPr>
          <w:rFonts w:hint="eastAsia"/>
        </w:rPr>
        <w:t>0至</w:t>
      </w:r>
      <w:r>
        <w:t>201</w:t>
      </w:r>
      <w:r>
        <w:rPr>
          <w:rFonts w:hint="eastAsia"/>
        </w:rPr>
        <w:t>5年，云和县农村客运班线通达行政村数量及行政村通车率逐年稳步提高，到2015年底累计通达农村客运班线的行政村有</w:t>
      </w:r>
      <w:r>
        <w:t>14</w:t>
      </w:r>
      <w:r>
        <w:rPr>
          <w:rFonts w:hint="eastAsia"/>
        </w:rPr>
        <w:t>7个，行政村通村率达</w:t>
      </w:r>
      <w:r>
        <w:t>8</w:t>
      </w:r>
      <w:r>
        <w:rPr>
          <w:rFonts w:hint="eastAsia"/>
        </w:rPr>
        <w:t>7.5</w:t>
      </w:r>
      <w:r>
        <w:t>%</w:t>
      </w:r>
      <w:r>
        <w:rPr>
          <w:rFonts w:hint="eastAsia"/>
        </w:rPr>
        <w:t>，较</w:t>
      </w:r>
      <w:r>
        <w:t>20</w:t>
      </w:r>
      <w:r>
        <w:rPr>
          <w:rFonts w:hint="eastAsia"/>
        </w:rPr>
        <w:t>10年提高了</w:t>
      </w:r>
      <w:r>
        <w:t>1</w:t>
      </w:r>
      <w:r>
        <w:rPr>
          <w:rFonts w:hint="eastAsia"/>
        </w:rPr>
        <w:t>1.62个百分点，城乡客运一体化建设工作取得实质性进展，为缓解农村地区居民“出行难”问题作出了巨大贡献。</w:t>
      </w:r>
    </w:p>
    <w:p>
      <w:pPr>
        <w:pStyle w:val="42"/>
        <w:ind w:right="199" w:rightChars="71" w:firstLine="262" w:firstLineChars="109"/>
        <w:rPr>
          <w:rFonts w:ascii="宋体"/>
          <w:b w:val="0"/>
          <w:sz w:val="28"/>
          <w:szCs w:val="20"/>
        </w:rPr>
      </w:pPr>
      <w:r>
        <w:drawing>
          <wp:inline distT="0" distB="0" distL="0" distR="0">
            <wp:extent cx="4914900" cy="1923415"/>
            <wp:effectExtent l="0" t="0" r="12700" b="3238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60"/>
      </w:pPr>
      <w:r>
        <w:rPr>
          <w:rFonts w:hint="eastAsia"/>
        </w:rPr>
        <w:t>图2-112010-2015年云和县农村客运行政村通车率（％）</w:t>
      </w:r>
    </w:p>
    <w:p>
      <w:pPr>
        <w:ind w:firstLine="0" w:firstLineChars="0"/>
        <w:rPr>
          <w:b/>
        </w:rPr>
      </w:pPr>
      <w:r>
        <w:rPr>
          <w:b/>
        </w:rPr>
        <w:t>2</w:t>
      </w:r>
      <w:r>
        <w:rPr>
          <w:rFonts w:hint="eastAsia"/>
          <w:b/>
        </w:rPr>
        <w:t>.城市公共交通</w:t>
      </w:r>
    </w:p>
    <w:p>
      <w:pPr>
        <w:ind w:firstLine="600" w:firstLineChars="0"/>
        <w:rPr>
          <w:b/>
        </w:rPr>
      </w:pPr>
      <w:r>
        <w:rPr>
          <w:rFonts w:hint="eastAsia"/>
          <w:b/>
        </w:rPr>
        <w:t>——城市公交</w:t>
      </w:r>
    </w:p>
    <w:p>
      <w:pPr>
        <w:ind w:firstLine="600" w:firstLineChars="0"/>
        <w:rPr>
          <w:b/>
        </w:rPr>
      </w:pPr>
      <w:r>
        <w:rPr>
          <w:rFonts w:hint="eastAsia"/>
          <w:b/>
        </w:rPr>
        <w:t>（1）公交分担率</w:t>
      </w:r>
    </w:p>
    <w:p>
      <w:pPr>
        <w:ind w:firstLine="560"/>
      </w:pPr>
      <w:r>
        <w:rPr>
          <w:rFonts w:hint="eastAsia"/>
        </w:rPr>
        <w:t>优先发展城市公共交通是“十二五”期间提升城市形象，提高公共交通运行效率，缓解城市拥堵的重要战略。为了深入贯彻省政府提出的“优先发展城市公共交通”战略，云和县加大公共交通基础设施投入，提高公共交通服务水平。截止到2015年末，云和县城市公共交通分担率达到4.7％，然而该分担率与同等城市相比仍处于较低水平。</w:t>
      </w:r>
    </w:p>
    <w:p>
      <w:pPr>
        <w:ind w:firstLine="600" w:firstLineChars="0"/>
        <w:rPr>
          <w:b/>
        </w:rPr>
      </w:pPr>
      <w:r>
        <w:rPr>
          <w:rFonts w:hint="eastAsia"/>
          <w:b/>
        </w:rPr>
        <w:t>（2）公交线网</w:t>
      </w:r>
    </w:p>
    <w:p>
      <w:pPr>
        <w:ind w:firstLine="600" w:firstLineChars="0"/>
      </w:pPr>
      <w:r>
        <w:rPr>
          <w:rFonts w:hint="eastAsia"/>
        </w:rPr>
        <w:t>截止到2015年底，云和县共开通</w:t>
      </w:r>
      <w:r>
        <w:t>3</w:t>
      </w:r>
      <w:r>
        <w:rPr>
          <w:rFonts w:hint="eastAsia"/>
        </w:rPr>
        <w:t>条公交线路，</w:t>
      </w:r>
      <w:r>
        <w:t>1</w:t>
      </w:r>
      <w:r>
        <w:rPr>
          <w:rFonts w:hint="eastAsia"/>
        </w:rPr>
        <w:t>路公交线路共有</w:t>
      </w:r>
      <w:r>
        <w:t>8</w:t>
      </w:r>
      <w:r>
        <w:rPr>
          <w:rFonts w:hint="eastAsia"/>
        </w:rPr>
        <w:t>辆大客车运行，行驶里程为</w:t>
      </w:r>
      <w:r>
        <w:t>12</w:t>
      </w:r>
      <w:r>
        <w:rPr>
          <w:rFonts w:hint="eastAsia"/>
        </w:rPr>
        <w:t>公里，共有</w:t>
      </w:r>
      <w:r>
        <w:t>35</w:t>
      </w:r>
      <w:r>
        <w:rPr>
          <w:rFonts w:hint="eastAsia"/>
        </w:rPr>
        <w:t>个站点，日发班</w:t>
      </w:r>
      <w:r>
        <w:t>160</w:t>
      </w:r>
      <w:r>
        <w:rPr>
          <w:rFonts w:hint="eastAsia"/>
        </w:rPr>
        <w:t>班次；</w:t>
      </w:r>
      <w:r>
        <w:t>2</w:t>
      </w:r>
      <w:r>
        <w:rPr>
          <w:rFonts w:hint="eastAsia"/>
        </w:rPr>
        <w:t>路公交线路由</w:t>
      </w:r>
      <w:r>
        <w:t>3</w:t>
      </w:r>
      <w:r>
        <w:rPr>
          <w:rFonts w:hint="eastAsia"/>
        </w:rPr>
        <w:t>辆中巴客车运行，行驶里程为</w:t>
      </w:r>
      <w:r>
        <w:t>3.8</w:t>
      </w:r>
      <w:r>
        <w:rPr>
          <w:rFonts w:hint="eastAsia"/>
        </w:rPr>
        <w:t>公里，共有</w:t>
      </w:r>
      <w:r>
        <w:t>16</w:t>
      </w:r>
      <w:r>
        <w:rPr>
          <w:rFonts w:hint="eastAsia"/>
        </w:rPr>
        <w:t>个站点，日发班</w:t>
      </w:r>
      <w:r>
        <w:t>162</w:t>
      </w:r>
      <w:r>
        <w:rPr>
          <w:rFonts w:hint="eastAsia"/>
        </w:rPr>
        <w:t>班次；</w:t>
      </w:r>
      <w:r>
        <w:t>3</w:t>
      </w:r>
      <w:r>
        <w:rPr>
          <w:rFonts w:hint="eastAsia"/>
        </w:rPr>
        <w:t>路公交线路由</w:t>
      </w:r>
      <w:r>
        <w:t>4</w:t>
      </w:r>
      <w:r>
        <w:rPr>
          <w:rFonts w:hint="eastAsia"/>
        </w:rPr>
        <w:t>辆中巴客车运行，行驶里程</w:t>
      </w:r>
      <w:r>
        <w:t>4.2</w:t>
      </w:r>
      <w:r>
        <w:rPr>
          <w:rFonts w:hint="eastAsia"/>
        </w:rPr>
        <w:t>公里，共有</w:t>
      </w:r>
      <w:r>
        <w:t>16</w:t>
      </w:r>
      <w:r>
        <w:rPr>
          <w:rFonts w:hint="eastAsia"/>
        </w:rPr>
        <w:t>个站点，日发班</w:t>
      </w:r>
      <w:r>
        <w:t>168</w:t>
      </w:r>
      <w:r>
        <w:rPr>
          <w:rFonts w:hint="eastAsia"/>
        </w:rPr>
        <w:t>班次。三条线路共计日发班</w:t>
      </w:r>
      <w:r>
        <w:t>490</w:t>
      </w:r>
      <w:r>
        <w:rPr>
          <w:rFonts w:hint="eastAsia"/>
        </w:rPr>
        <w:t>班次，间隔</w:t>
      </w:r>
      <w:r>
        <w:t>10—15</w:t>
      </w:r>
      <w:r>
        <w:rPr>
          <w:rFonts w:hint="eastAsia"/>
        </w:rPr>
        <w:t>分钟一班。</w:t>
      </w:r>
    </w:p>
    <w:p>
      <w:pPr>
        <w:pStyle w:val="60"/>
      </w:pPr>
      <w:r>
        <w:rPr>
          <w:rFonts w:hint="eastAsia"/>
        </w:rPr>
        <w:t>表</w:t>
      </w:r>
      <w:r>
        <w:t>2-</w:t>
      </w:r>
      <w:r>
        <w:rPr>
          <w:rFonts w:hint="eastAsia"/>
        </w:rPr>
        <w:t>5云和县公交线路情况</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899"/>
        <w:gridCol w:w="1916"/>
        <w:gridCol w:w="129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11" w:type="dxa"/>
            <w:shd w:val="clear" w:color="auto" w:fill="D8D8D8" w:themeFill="background1" w:themeFillShade="D9"/>
            <w:vAlign w:val="center"/>
          </w:tcPr>
          <w:p>
            <w:pPr>
              <w:widowControl/>
              <w:spacing w:line="240" w:lineRule="auto"/>
              <w:ind w:firstLine="0" w:firstLineChars="0"/>
              <w:rPr>
                <w:rFonts w:ascii="宋体" w:hAnsi="宋体" w:cs="宋体"/>
                <w:b/>
                <w:sz w:val="24"/>
                <w:szCs w:val="24"/>
              </w:rPr>
            </w:pPr>
            <w:r>
              <w:rPr>
                <w:rFonts w:hint="eastAsia" w:ascii="宋体" w:hAnsi="宋体" w:cs="宋体"/>
                <w:b/>
                <w:sz w:val="24"/>
                <w:szCs w:val="24"/>
              </w:rPr>
              <w:t>公交线路</w:t>
            </w:r>
          </w:p>
        </w:tc>
        <w:tc>
          <w:tcPr>
            <w:tcW w:w="1899" w:type="dxa"/>
            <w:shd w:val="clear" w:color="auto" w:fill="D8D8D8" w:themeFill="background1" w:themeFillShade="D9"/>
            <w:vAlign w:val="center"/>
          </w:tcPr>
          <w:p>
            <w:pPr>
              <w:widowControl/>
              <w:spacing w:line="240" w:lineRule="auto"/>
              <w:ind w:firstLine="0" w:firstLineChars="0"/>
              <w:rPr>
                <w:rFonts w:ascii="宋体" w:hAnsi="宋体" w:cs="宋体"/>
                <w:b/>
                <w:sz w:val="24"/>
                <w:szCs w:val="24"/>
              </w:rPr>
            </w:pPr>
            <w:r>
              <w:rPr>
                <w:rFonts w:hint="eastAsia" w:ascii="宋体" w:hAnsi="宋体" w:cs="宋体"/>
                <w:b/>
                <w:sz w:val="24"/>
                <w:szCs w:val="24"/>
              </w:rPr>
              <w:t>运行车辆</w:t>
            </w:r>
            <w:r>
              <w:rPr>
                <w:rFonts w:ascii="宋体" w:hAnsi="宋体" w:cs="宋体"/>
                <w:b/>
                <w:sz w:val="24"/>
                <w:szCs w:val="24"/>
              </w:rPr>
              <w:t>(</w:t>
            </w:r>
            <w:r>
              <w:rPr>
                <w:rFonts w:hint="eastAsia" w:ascii="宋体" w:hAnsi="宋体" w:cs="宋体"/>
                <w:b/>
                <w:sz w:val="24"/>
                <w:szCs w:val="24"/>
              </w:rPr>
              <w:t>辆</w:t>
            </w:r>
            <w:r>
              <w:rPr>
                <w:rFonts w:ascii="宋体" w:hAnsi="宋体" w:cs="宋体"/>
                <w:b/>
                <w:sz w:val="24"/>
                <w:szCs w:val="24"/>
              </w:rPr>
              <w:t>)</w:t>
            </w:r>
          </w:p>
        </w:tc>
        <w:tc>
          <w:tcPr>
            <w:tcW w:w="1916" w:type="dxa"/>
            <w:shd w:val="clear" w:color="auto" w:fill="D8D8D8" w:themeFill="background1" w:themeFillShade="D9"/>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行驶里程</w:t>
            </w:r>
          </w:p>
          <w:p>
            <w:pPr>
              <w:widowControl/>
              <w:spacing w:line="240" w:lineRule="auto"/>
              <w:ind w:firstLine="0" w:firstLineChars="0"/>
              <w:jc w:val="center"/>
              <w:rPr>
                <w:rFonts w:ascii="宋体" w:hAnsi="宋体" w:cs="宋体"/>
                <w:b/>
                <w:sz w:val="24"/>
                <w:szCs w:val="24"/>
              </w:rPr>
            </w:pPr>
            <w:r>
              <w:rPr>
                <w:rFonts w:ascii="宋体" w:hAnsi="宋体" w:cs="宋体"/>
                <w:b/>
                <w:sz w:val="24"/>
                <w:szCs w:val="24"/>
              </w:rPr>
              <w:t>(</w:t>
            </w:r>
            <w:r>
              <w:rPr>
                <w:rFonts w:hint="eastAsia" w:ascii="宋体" w:hAnsi="宋体" w:cs="宋体"/>
                <w:b/>
                <w:sz w:val="24"/>
                <w:szCs w:val="24"/>
              </w:rPr>
              <w:t>公里</w:t>
            </w:r>
            <w:r>
              <w:rPr>
                <w:rFonts w:ascii="宋体" w:hAnsi="宋体" w:cs="宋体"/>
                <w:b/>
                <w:sz w:val="24"/>
                <w:szCs w:val="24"/>
              </w:rPr>
              <w:t>)</w:t>
            </w:r>
          </w:p>
        </w:tc>
        <w:tc>
          <w:tcPr>
            <w:tcW w:w="1294" w:type="dxa"/>
            <w:shd w:val="clear" w:color="auto" w:fill="D8D8D8" w:themeFill="background1" w:themeFillShade="D9"/>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站点</w:t>
            </w:r>
          </w:p>
          <w:p>
            <w:pPr>
              <w:widowControl/>
              <w:spacing w:line="240" w:lineRule="auto"/>
              <w:ind w:firstLine="0" w:firstLineChars="0"/>
              <w:jc w:val="center"/>
              <w:rPr>
                <w:rFonts w:ascii="宋体" w:hAnsi="宋体" w:cs="宋体"/>
                <w:b/>
                <w:sz w:val="24"/>
                <w:szCs w:val="24"/>
              </w:rPr>
            </w:pPr>
            <w:r>
              <w:rPr>
                <w:rFonts w:ascii="宋体" w:hAnsi="宋体" w:cs="宋体"/>
                <w:b/>
                <w:sz w:val="24"/>
                <w:szCs w:val="24"/>
              </w:rPr>
              <w:t>(</w:t>
            </w:r>
            <w:r>
              <w:rPr>
                <w:rFonts w:hint="eastAsia" w:ascii="宋体" w:hAnsi="宋体" w:cs="宋体"/>
                <w:b/>
                <w:sz w:val="24"/>
                <w:szCs w:val="24"/>
              </w:rPr>
              <w:t>个</w:t>
            </w:r>
            <w:r>
              <w:rPr>
                <w:rFonts w:ascii="宋体" w:hAnsi="宋体" w:cs="宋体"/>
                <w:b/>
                <w:sz w:val="24"/>
                <w:szCs w:val="24"/>
              </w:rPr>
              <w:t>)</w:t>
            </w:r>
          </w:p>
        </w:tc>
        <w:tc>
          <w:tcPr>
            <w:tcW w:w="1929" w:type="dxa"/>
            <w:shd w:val="clear" w:color="auto" w:fill="D8D8D8" w:themeFill="background1" w:themeFillShade="D9"/>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发车班次</w:t>
            </w:r>
          </w:p>
          <w:p>
            <w:pPr>
              <w:widowControl/>
              <w:spacing w:line="240" w:lineRule="auto"/>
              <w:ind w:firstLine="0" w:firstLineChars="0"/>
              <w:jc w:val="center"/>
              <w:rPr>
                <w:rFonts w:ascii="宋体" w:hAnsi="宋体" w:cs="宋体"/>
                <w:b/>
                <w:sz w:val="24"/>
                <w:szCs w:val="24"/>
              </w:rPr>
            </w:pPr>
            <w:r>
              <w:rPr>
                <w:rFonts w:ascii="宋体" w:hAnsi="宋体" w:cs="宋体"/>
                <w:b/>
                <w:sz w:val="24"/>
                <w:szCs w:val="24"/>
              </w:rPr>
              <w:t>(</w:t>
            </w:r>
            <w:r>
              <w:rPr>
                <w:rFonts w:hint="eastAsia" w:ascii="宋体" w:hAnsi="宋体" w:cs="宋体"/>
                <w:b/>
                <w:sz w:val="24"/>
                <w:szCs w:val="24"/>
              </w:rPr>
              <w:t>班次</w:t>
            </w:r>
            <w:r>
              <w:rPr>
                <w:rFonts w:ascii="宋体" w:hAnsi="宋体" w:cs="宋体"/>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11" w:type="dxa"/>
            <w:vAlign w:val="center"/>
          </w:tcPr>
          <w:p>
            <w:pPr>
              <w:pStyle w:val="41"/>
              <w:rPr>
                <w:bCs/>
              </w:rPr>
            </w:pPr>
            <w:r>
              <w:rPr>
                <w:bCs/>
              </w:rPr>
              <w:t>1</w:t>
            </w:r>
            <w:r>
              <w:rPr>
                <w:rFonts w:hint="eastAsia"/>
                <w:bCs/>
              </w:rPr>
              <w:t>号线</w:t>
            </w:r>
          </w:p>
        </w:tc>
        <w:tc>
          <w:tcPr>
            <w:tcW w:w="1899" w:type="dxa"/>
            <w:vAlign w:val="center"/>
          </w:tcPr>
          <w:p>
            <w:pPr>
              <w:pStyle w:val="41"/>
              <w:rPr>
                <w:bCs/>
              </w:rPr>
            </w:pPr>
            <w:r>
              <w:rPr>
                <w:bCs/>
              </w:rPr>
              <w:t>8</w:t>
            </w:r>
            <w:r>
              <w:rPr>
                <w:rFonts w:hint="eastAsia"/>
                <w:bCs/>
              </w:rPr>
              <w:t>辆大客车</w:t>
            </w:r>
          </w:p>
        </w:tc>
        <w:tc>
          <w:tcPr>
            <w:tcW w:w="1916" w:type="dxa"/>
            <w:vAlign w:val="center"/>
          </w:tcPr>
          <w:p>
            <w:pPr>
              <w:pStyle w:val="41"/>
              <w:rPr>
                <w:bCs/>
              </w:rPr>
            </w:pPr>
            <w:r>
              <w:rPr>
                <w:bCs/>
              </w:rPr>
              <w:t>12</w:t>
            </w:r>
          </w:p>
        </w:tc>
        <w:tc>
          <w:tcPr>
            <w:tcW w:w="1294" w:type="dxa"/>
            <w:vAlign w:val="center"/>
          </w:tcPr>
          <w:p>
            <w:pPr>
              <w:pStyle w:val="41"/>
              <w:rPr>
                <w:bCs/>
              </w:rPr>
            </w:pPr>
            <w:r>
              <w:rPr>
                <w:bCs/>
              </w:rPr>
              <w:t>35</w:t>
            </w:r>
          </w:p>
        </w:tc>
        <w:tc>
          <w:tcPr>
            <w:tcW w:w="1929" w:type="dxa"/>
            <w:vAlign w:val="center"/>
          </w:tcPr>
          <w:p>
            <w:pPr>
              <w:pStyle w:val="41"/>
              <w:rPr>
                <w:bCs/>
              </w:rPr>
            </w:pPr>
            <w:r>
              <w:rPr>
                <w:bCs/>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11" w:type="dxa"/>
            <w:vAlign w:val="center"/>
          </w:tcPr>
          <w:p>
            <w:pPr>
              <w:pStyle w:val="41"/>
              <w:rPr>
                <w:bCs/>
              </w:rPr>
            </w:pPr>
            <w:r>
              <w:rPr>
                <w:bCs/>
              </w:rPr>
              <w:t>2</w:t>
            </w:r>
            <w:r>
              <w:rPr>
                <w:rFonts w:hint="eastAsia"/>
                <w:bCs/>
              </w:rPr>
              <w:t>号线</w:t>
            </w:r>
          </w:p>
        </w:tc>
        <w:tc>
          <w:tcPr>
            <w:tcW w:w="1899" w:type="dxa"/>
            <w:vAlign w:val="center"/>
          </w:tcPr>
          <w:p>
            <w:pPr>
              <w:pStyle w:val="41"/>
              <w:rPr>
                <w:bCs/>
              </w:rPr>
            </w:pPr>
            <w:r>
              <w:rPr>
                <w:bCs/>
              </w:rPr>
              <w:t>3</w:t>
            </w:r>
            <w:r>
              <w:rPr>
                <w:rFonts w:hint="eastAsia"/>
                <w:bCs/>
              </w:rPr>
              <w:t>辆中巴客运</w:t>
            </w:r>
          </w:p>
        </w:tc>
        <w:tc>
          <w:tcPr>
            <w:tcW w:w="1916" w:type="dxa"/>
            <w:vAlign w:val="center"/>
          </w:tcPr>
          <w:p>
            <w:pPr>
              <w:pStyle w:val="41"/>
              <w:rPr>
                <w:bCs/>
              </w:rPr>
            </w:pPr>
            <w:r>
              <w:rPr>
                <w:bCs/>
              </w:rPr>
              <w:t>3.8</w:t>
            </w:r>
          </w:p>
        </w:tc>
        <w:tc>
          <w:tcPr>
            <w:tcW w:w="1294" w:type="dxa"/>
            <w:vAlign w:val="center"/>
          </w:tcPr>
          <w:p>
            <w:pPr>
              <w:pStyle w:val="41"/>
              <w:rPr>
                <w:bCs/>
              </w:rPr>
            </w:pPr>
            <w:r>
              <w:rPr>
                <w:bCs/>
              </w:rPr>
              <w:t>16</w:t>
            </w:r>
          </w:p>
        </w:tc>
        <w:tc>
          <w:tcPr>
            <w:tcW w:w="1929" w:type="dxa"/>
            <w:vAlign w:val="center"/>
          </w:tcPr>
          <w:p>
            <w:pPr>
              <w:pStyle w:val="41"/>
              <w:rPr>
                <w:bCs/>
              </w:rPr>
            </w:pPr>
            <w:r>
              <w:rPr>
                <w:bCs/>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11" w:type="dxa"/>
            <w:vAlign w:val="center"/>
          </w:tcPr>
          <w:p>
            <w:pPr>
              <w:pStyle w:val="41"/>
              <w:rPr>
                <w:bCs/>
              </w:rPr>
            </w:pPr>
            <w:r>
              <w:rPr>
                <w:bCs/>
              </w:rPr>
              <w:t>3</w:t>
            </w:r>
            <w:r>
              <w:rPr>
                <w:rFonts w:hint="eastAsia"/>
                <w:bCs/>
              </w:rPr>
              <w:t>号线</w:t>
            </w:r>
          </w:p>
        </w:tc>
        <w:tc>
          <w:tcPr>
            <w:tcW w:w="1899" w:type="dxa"/>
            <w:vAlign w:val="center"/>
          </w:tcPr>
          <w:p>
            <w:pPr>
              <w:pStyle w:val="41"/>
              <w:rPr>
                <w:bCs/>
              </w:rPr>
            </w:pPr>
            <w:r>
              <w:rPr>
                <w:bCs/>
              </w:rPr>
              <w:t>4</w:t>
            </w:r>
            <w:r>
              <w:rPr>
                <w:rFonts w:hint="eastAsia"/>
                <w:bCs/>
              </w:rPr>
              <w:t>辆中巴客运</w:t>
            </w:r>
          </w:p>
        </w:tc>
        <w:tc>
          <w:tcPr>
            <w:tcW w:w="1916" w:type="dxa"/>
            <w:vAlign w:val="center"/>
          </w:tcPr>
          <w:p>
            <w:pPr>
              <w:pStyle w:val="41"/>
              <w:rPr>
                <w:bCs/>
              </w:rPr>
            </w:pPr>
            <w:r>
              <w:rPr>
                <w:bCs/>
              </w:rPr>
              <w:t>4.2</w:t>
            </w:r>
          </w:p>
        </w:tc>
        <w:tc>
          <w:tcPr>
            <w:tcW w:w="1294" w:type="dxa"/>
            <w:vAlign w:val="center"/>
          </w:tcPr>
          <w:p>
            <w:pPr>
              <w:pStyle w:val="41"/>
              <w:rPr>
                <w:bCs/>
              </w:rPr>
            </w:pPr>
            <w:r>
              <w:rPr>
                <w:bCs/>
              </w:rPr>
              <w:t>16</w:t>
            </w:r>
          </w:p>
        </w:tc>
        <w:tc>
          <w:tcPr>
            <w:tcW w:w="1929" w:type="dxa"/>
            <w:vAlign w:val="center"/>
          </w:tcPr>
          <w:p>
            <w:pPr>
              <w:pStyle w:val="41"/>
              <w:rPr>
                <w:bCs/>
              </w:rPr>
            </w:pPr>
            <w:r>
              <w:rPr>
                <w:bCs/>
              </w:rPr>
              <w:t>168</w:t>
            </w:r>
          </w:p>
        </w:tc>
      </w:tr>
    </w:tbl>
    <w:p>
      <w:pPr>
        <w:pStyle w:val="60"/>
        <w:jc w:val="both"/>
      </w:pPr>
    </w:p>
    <w:p>
      <w:pPr>
        <w:pStyle w:val="60"/>
      </w:pPr>
      <w:r>
        <w:rPr>
          <w:rFonts w:hint="eastAsia"/>
        </w:rPr>
        <w:t>表</w:t>
      </w:r>
      <w:r>
        <w:t>2-</w:t>
      </w:r>
      <w:r>
        <w:rPr>
          <w:rFonts w:hint="eastAsia"/>
        </w:rPr>
        <w:t>6云和县公交线路基本情况</w:t>
      </w:r>
    </w:p>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34"/>
        <w:gridCol w:w="981"/>
        <w:gridCol w:w="567"/>
        <w:gridCol w:w="436"/>
        <w:gridCol w:w="851"/>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线路</w:t>
            </w:r>
          </w:p>
          <w:p>
            <w:pPr>
              <w:spacing w:line="240" w:lineRule="auto"/>
              <w:ind w:firstLine="0" w:firstLineChars="0"/>
              <w:jc w:val="center"/>
              <w:rPr>
                <w:b/>
                <w:bCs w:val="0"/>
                <w:sz w:val="22"/>
              </w:rPr>
            </w:pPr>
            <w:r>
              <w:rPr>
                <w:rFonts w:hint="eastAsia"/>
                <w:b/>
                <w:bCs w:val="0"/>
                <w:sz w:val="22"/>
              </w:rPr>
              <w:t>编号</w:t>
            </w:r>
          </w:p>
        </w:tc>
        <w:tc>
          <w:tcPr>
            <w:tcW w:w="1134"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首末站</w:t>
            </w:r>
          </w:p>
        </w:tc>
        <w:tc>
          <w:tcPr>
            <w:tcW w:w="981"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长度（km）</w:t>
            </w:r>
          </w:p>
        </w:tc>
        <w:tc>
          <w:tcPr>
            <w:tcW w:w="567"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站点数</w:t>
            </w:r>
          </w:p>
        </w:tc>
        <w:tc>
          <w:tcPr>
            <w:tcW w:w="436"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配车数</w:t>
            </w:r>
          </w:p>
        </w:tc>
        <w:tc>
          <w:tcPr>
            <w:tcW w:w="851" w:type="dxa"/>
            <w:shd w:val="clear" w:color="auto" w:fill="D8D8D8" w:themeFill="background1" w:themeFillShade="D9"/>
            <w:vAlign w:val="center"/>
          </w:tcPr>
          <w:p>
            <w:pPr>
              <w:spacing w:line="240" w:lineRule="auto"/>
              <w:ind w:firstLine="0" w:firstLineChars="0"/>
              <w:jc w:val="center"/>
              <w:rPr>
                <w:b/>
                <w:bCs w:val="0"/>
                <w:sz w:val="22"/>
              </w:rPr>
            </w:pPr>
            <w:r>
              <w:rPr>
                <w:rFonts w:hint="eastAsia"/>
                <w:b/>
                <w:bCs w:val="0"/>
                <w:sz w:val="22"/>
              </w:rPr>
              <w:t>班次间隔（分）</w:t>
            </w:r>
          </w:p>
        </w:tc>
        <w:tc>
          <w:tcPr>
            <w:tcW w:w="5528" w:type="dxa"/>
            <w:shd w:val="clear" w:color="auto" w:fill="D8D8D8" w:themeFill="background1" w:themeFillShade="D9"/>
            <w:vAlign w:val="center"/>
          </w:tcPr>
          <w:p>
            <w:pPr>
              <w:spacing w:line="240" w:lineRule="auto"/>
              <w:ind w:firstLine="0" w:firstLineChars="0"/>
              <w:jc w:val="center"/>
              <w:rPr>
                <w:bCs/>
                <w:sz w:val="22"/>
              </w:rPr>
            </w:pPr>
            <w:r>
              <w:rPr>
                <w:rFonts w:hint="eastAsia"/>
                <w:b/>
                <w:bCs w:val="0"/>
                <w:sz w:val="22"/>
              </w:rPr>
              <w:t>线路走向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Align w:val="center"/>
          </w:tcPr>
          <w:p>
            <w:pPr>
              <w:spacing w:line="240" w:lineRule="auto"/>
              <w:ind w:firstLine="0" w:firstLineChars="0"/>
              <w:jc w:val="center"/>
              <w:rPr>
                <w:b/>
                <w:bCs w:val="0"/>
                <w:sz w:val="20"/>
              </w:rPr>
            </w:pPr>
            <w:r>
              <w:rPr>
                <w:rFonts w:hint="eastAsia"/>
                <w:b/>
                <w:bCs w:val="0"/>
                <w:sz w:val="20"/>
              </w:rPr>
              <w:t>1</w:t>
            </w:r>
          </w:p>
        </w:tc>
        <w:tc>
          <w:tcPr>
            <w:tcW w:w="1134" w:type="dxa"/>
            <w:vAlign w:val="center"/>
          </w:tcPr>
          <w:p>
            <w:pPr>
              <w:spacing w:line="240" w:lineRule="auto"/>
              <w:ind w:firstLine="0" w:firstLineChars="0"/>
              <w:jc w:val="center"/>
              <w:rPr>
                <w:bCs w:val="0"/>
                <w:sz w:val="20"/>
              </w:rPr>
            </w:pPr>
            <w:r>
              <w:rPr>
                <w:rFonts w:hint="eastAsia"/>
                <w:bCs w:val="0"/>
                <w:sz w:val="20"/>
              </w:rPr>
              <w:t>新车站</w:t>
            </w:r>
          </w:p>
          <w:p>
            <w:pPr>
              <w:spacing w:line="240" w:lineRule="auto"/>
              <w:ind w:firstLine="0" w:firstLineChars="0"/>
              <w:jc w:val="center"/>
              <w:rPr>
                <w:bCs w:val="0"/>
                <w:sz w:val="20"/>
              </w:rPr>
            </w:pPr>
            <w:r>
              <w:rPr>
                <w:rFonts w:hint="eastAsia"/>
                <w:bCs w:val="0"/>
                <w:sz w:val="20"/>
              </w:rPr>
              <w:t>——</w:t>
            </w:r>
          </w:p>
          <w:p>
            <w:pPr>
              <w:spacing w:line="240" w:lineRule="auto"/>
              <w:ind w:firstLine="0" w:firstLineChars="0"/>
              <w:jc w:val="center"/>
              <w:rPr>
                <w:bCs w:val="0"/>
                <w:sz w:val="20"/>
              </w:rPr>
            </w:pPr>
            <w:r>
              <w:rPr>
                <w:rFonts w:hint="eastAsia"/>
                <w:bCs w:val="0"/>
                <w:sz w:val="20"/>
              </w:rPr>
              <w:t>新车站</w:t>
            </w:r>
          </w:p>
        </w:tc>
        <w:tc>
          <w:tcPr>
            <w:tcW w:w="981" w:type="dxa"/>
            <w:vAlign w:val="center"/>
          </w:tcPr>
          <w:p>
            <w:pPr>
              <w:spacing w:line="240" w:lineRule="auto"/>
              <w:ind w:firstLine="0" w:firstLineChars="0"/>
              <w:jc w:val="center"/>
              <w:rPr>
                <w:bCs w:val="0"/>
                <w:sz w:val="20"/>
              </w:rPr>
            </w:pPr>
            <w:r>
              <w:rPr>
                <w:rFonts w:hint="eastAsia"/>
                <w:bCs w:val="0"/>
                <w:sz w:val="20"/>
              </w:rPr>
              <w:t>12</w:t>
            </w:r>
          </w:p>
        </w:tc>
        <w:tc>
          <w:tcPr>
            <w:tcW w:w="567" w:type="dxa"/>
            <w:vAlign w:val="center"/>
          </w:tcPr>
          <w:p>
            <w:pPr>
              <w:spacing w:line="240" w:lineRule="auto"/>
              <w:ind w:firstLine="0" w:firstLineChars="0"/>
              <w:jc w:val="center"/>
              <w:rPr>
                <w:bCs w:val="0"/>
                <w:sz w:val="20"/>
              </w:rPr>
            </w:pPr>
            <w:r>
              <w:rPr>
                <w:rFonts w:hint="eastAsia"/>
                <w:bCs w:val="0"/>
                <w:sz w:val="20"/>
              </w:rPr>
              <w:t>35</w:t>
            </w:r>
          </w:p>
        </w:tc>
        <w:tc>
          <w:tcPr>
            <w:tcW w:w="436" w:type="dxa"/>
            <w:vAlign w:val="center"/>
          </w:tcPr>
          <w:p>
            <w:pPr>
              <w:spacing w:line="240" w:lineRule="auto"/>
              <w:ind w:firstLine="0" w:firstLineChars="0"/>
              <w:jc w:val="center"/>
              <w:rPr>
                <w:bCs w:val="0"/>
                <w:sz w:val="20"/>
              </w:rPr>
            </w:pPr>
            <w:r>
              <w:rPr>
                <w:rFonts w:hint="eastAsia"/>
                <w:bCs w:val="0"/>
                <w:sz w:val="20"/>
              </w:rPr>
              <w:t>8</w:t>
            </w:r>
          </w:p>
        </w:tc>
        <w:tc>
          <w:tcPr>
            <w:tcW w:w="851" w:type="dxa"/>
            <w:vAlign w:val="center"/>
          </w:tcPr>
          <w:p>
            <w:pPr>
              <w:spacing w:line="240" w:lineRule="auto"/>
              <w:ind w:firstLine="0" w:firstLineChars="0"/>
              <w:jc w:val="center"/>
              <w:rPr>
                <w:bCs w:val="0"/>
                <w:sz w:val="20"/>
              </w:rPr>
            </w:pPr>
            <w:r>
              <w:rPr>
                <w:rFonts w:hint="eastAsia"/>
                <w:bCs w:val="0"/>
                <w:sz w:val="20"/>
              </w:rPr>
              <w:t>6：30——21:00</w:t>
            </w:r>
          </w:p>
        </w:tc>
        <w:tc>
          <w:tcPr>
            <w:tcW w:w="5528" w:type="dxa"/>
            <w:vAlign w:val="center"/>
          </w:tcPr>
          <w:p>
            <w:pPr>
              <w:spacing w:line="240" w:lineRule="auto"/>
              <w:ind w:firstLine="0" w:firstLineChars="0"/>
              <w:rPr>
                <w:bCs w:val="0"/>
                <w:sz w:val="20"/>
              </w:rPr>
            </w:pPr>
            <w:r>
              <w:rPr>
                <w:rFonts w:hint="eastAsia"/>
                <w:bCs w:val="0"/>
                <w:sz w:val="20"/>
              </w:rPr>
              <w:t>新车站－广和南山公寓－体育馆－元和广场－南门大桥－马鞍山路口－城南工业区－木佬佬公司－广播转播台－上城门－交警大队－朝阳建筑公司－九鼎实业－运管局－电力大楼－镇政府（县小）－中医院－房管处－菜市场－中山广场－财税大楼－香菇市场－皇成大酒店－水境佳苑西－水境佳苑东－象山村－下城门－狮山路口－古坊－滨江公园－消防队－新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Align w:val="center"/>
          </w:tcPr>
          <w:p>
            <w:pPr>
              <w:spacing w:line="240" w:lineRule="auto"/>
              <w:ind w:firstLine="0" w:firstLineChars="0"/>
              <w:jc w:val="center"/>
              <w:rPr>
                <w:b/>
                <w:bCs w:val="0"/>
                <w:sz w:val="20"/>
              </w:rPr>
            </w:pPr>
            <w:r>
              <w:rPr>
                <w:rFonts w:hint="eastAsia"/>
                <w:b/>
                <w:bCs w:val="0"/>
                <w:sz w:val="20"/>
              </w:rPr>
              <w:t>2</w:t>
            </w:r>
          </w:p>
        </w:tc>
        <w:tc>
          <w:tcPr>
            <w:tcW w:w="1134" w:type="dxa"/>
            <w:vAlign w:val="center"/>
          </w:tcPr>
          <w:p>
            <w:pPr>
              <w:spacing w:line="240" w:lineRule="auto"/>
              <w:ind w:firstLine="0" w:firstLineChars="0"/>
              <w:jc w:val="center"/>
              <w:rPr>
                <w:bCs w:val="0"/>
                <w:sz w:val="20"/>
              </w:rPr>
            </w:pPr>
            <w:r>
              <w:rPr>
                <w:rFonts w:hint="eastAsia"/>
                <w:bCs w:val="0"/>
                <w:sz w:val="20"/>
              </w:rPr>
              <w:t>农民公寓</w:t>
            </w:r>
          </w:p>
          <w:p>
            <w:pPr>
              <w:spacing w:line="240" w:lineRule="auto"/>
              <w:ind w:firstLine="0" w:firstLineChars="0"/>
              <w:jc w:val="center"/>
              <w:rPr>
                <w:bCs w:val="0"/>
                <w:sz w:val="20"/>
              </w:rPr>
            </w:pPr>
            <w:r>
              <w:rPr>
                <w:rFonts w:hint="eastAsia"/>
                <w:bCs w:val="0"/>
                <w:sz w:val="20"/>
              </w:rPr>
              <w:t>——</w:t>
            </w:r>
          </w:p>
          <w:p>
            <w:pPr>
              <w:spacing w:line="240" w:lineRule="auto"/>
              <w:ind w:firstLine="0" w:firstLineChars="0"/>
              <w:jc w:val="center"/>
              <w:rPr>
                <w:bCs w:val="0"/>
                <w:sz w:val="20"/>
              </w:rPr>
            </w:pPr>
            <w:r>
              <w:rPr>
                <w:rFonts w:hint="eastAsia"/>
                <w:bCs w:val="0"/>
                <w:sz w:val="20"/>
              </w:rPr>
              <w:t>新人民医院</w:t>
            </w:r>
          </w:p>
        </w:tc>
        <w:tc>
          <w:tcPr>
            <w:tcW w:w="981" w:type="dxa"/>
            <w:vAlign w:val="center"/>
          </w:tcPr>
          <w:p>
            <w:pPr>
              <w:spacing w:line="240" w:lineRule="auto"/>
              <w:ind w:firstLine="0" w:firstLineChars="0"/>
              <w:jc w:val="center"/>
              <w:rPr>
                <w:bCs w:val="0"/>
                <w:sz w:val="20"/>
              </w:rPr>
            </w:pPr>
            <w:r>
              <w:rPr>
                <w:rFonts w:hint="eastAsia"/>
                <w:bCs w:val="0"/>
                <w:sz w:val="20"/>
              </w:rPr>
              <w:t>3.8</w:t>
            </w:r>
          </w:p>
        </w:tc>
        <w:tc>
          <w:tcPr>
            <w:tcW w:w="567" w:type="dxa"/>
            <w:vAlign w:val="center"/>
          </w:tcPr>
          <w:p>
            <w:pPr>
              <w:spacing w:line="240" w:lineRule="auto"/>
              <w:ind w:firstLine="0" w:firstLineChars="0"/>
              <w:jc w:val="center"/>
              <w:rPr>
                <w:bCs w:val="0"/>
                <w:sz w:val="20"/>
              </w:rPr>
            </w:pPr>
            <w:r>
              <w:rPr>
                <w:rFonts w:hint="eastAsia"/>
                <w:bCs w:val="0"/>
                <w:sz w:val="20"/>
              </w:rPr>
              <w:t>16</w:t>
            </w:r>
          </w:p>
        </w:tc>
        <w:tc>
          <w:tcPr>
            <w:tcW w:w="436" w:type="dxa"/>
            <w:vAlign w:val="center"/>
          </w:tcPr>
          <w:p>
            <w:pPr>
              <w:spacing w:line="240" w:lineRule="auto"/>
              <w:ind w:firstLine="0" w:firstLineChars="0"/>
              <w:jc w:val="center"/>
              <w:rPr>
                <w:bCs w:val="0"/>
                <w:sz w:val="20"/>
              </w:rPr>
            </w:pPr>
            <w:r>
              <w:rPr>
                <w:rFonts w:hint="eastAsia"/>
                <w:bCs w:val="0"/>
                <w:sz w:val="20"/>
              </w:rPr>
              <w:t>3</w:t>
            </w:r>
          </w:p>
        </w:tc>
        <w:tc>
          <w:tcPr>
            <w:tcW w:w="851" w:type="dxa"/>
            <w:vAlign w:val="center"/>
          </w:tcPr>
          <w:p>
            <w:pPr>
              <w:spacing w:line="240" w:lineRule="auto"/>
              <w:ind w:firstLine="0" w:firstLineChars="0"/>
              <w:jc w:val="center"/>
              <w:rPr>
                <w:bCs w:val="0"/>
                <w:sz w:val="20"/>
              </w:rPr>
            </w:pPr>
            <w:r>
              <w:rPr>
                <w:rFonts w:hint="eastAsia"/>
                <w:bCs w:val="0"/>
                <w:sz w:val="20"/>
              </w:rPr>
              <w:t>6:30</w:t>
            </w:r>
          </w:p>
          <w:p>
            <w:pPr>
              <w:spacing w:line="240" w:lineRule="auto"/>
              <w:ind w:firstLine="0" w:firstLineChars="0"/>
              <w:jc w:val="center"/>
              <w:rPr>
                <w:bCs w:val="0"/>
                <w:sz w:val="20"/>
              </w:rPr>
            </w:pPr>
            <w:r>
              <w:rPr>
                <w:rFonts w:hint="eastAsia"/>
                <w:bCs w:val="0"/>
                <w:sz w:val="20"/>
              </w:rPr>
              <w:t>——</w:t>
            </w:r>
          </w:p>
          <w:p>
            <w:pPr>
              <w:spacing w:line="240" w:lineRule="auto"/>
              <w:ind w:firstLine="0" w:firstLineChars="0"/>
              <w:jc w:val="center"/>
              <w:rPr>
                <w:bCs w:val="0"/>
                <w:sz w:val="20"/>
              </w:rPr>
            </w:pPr>
            <w:r>
              <w:rPr>
                <w:rFonts w:hint="eastAsia"/>
                <w:bCs w:val="0"/>
                <w:sz w:val="20"/>
              </w:rPr>
              <w:t>21:00</w:t>
            </w:r>
          </w:p>
        </w:tc>
        <w:tc>
          <w:tcPr>
            <w:tcW w:w="5528" w:type="dxa"/>
            <w:vAlign w:val="center"/>
          </w:tcPr>
          <w:p>
            <w:pPr>
              <w:spacing w:line="240" w:lineRule="auto"/>
              <w:ind w:firstLine="0" w:firstLineChars="0"/>
              <w:rPr>
                <w:bCs w:val="0"/>
                <w:sz w:val="20"/>
              </w:rPr>
            </w:pPr>
            <w:r>
              <w:rPr>
                <w:rFonts w:hint="eastAsia"/>
                <w:bCs w:val="0"/>
                <w:sz w:val="20"/>
              </w:rPr>
              <w:t>农民公寓－凤凰山村－二中－镇政府（县小）－中医院－中山路口－建设局－老年公园－社保处－县政府－检察院－青阳门社区－同心花园－云和湖大酒店－新车站－云和三中－新人民医院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8" w:type="dxa"/>
            <w:vAlign w:val="center"/>
          </w:tcPr>
          <w:p>
            <w:pPr>
              <w:spacing w:line="240" w:lineRule="auto"/>
              <w:ind w:firstLine="0" w:firstLineChars="0"/>
              <w:jc w:val="center"/>
              <w:rPr>
                <w:b/>
                <w:bCs w:val="0"/>
                <w:sz w:val="20"/>
              </w:rPr>
            </w:pPr>
            <w:r>
              <w:rPr>
                <w:rFonts w:hint="eastAsia"/>
                <w:b/>
                <w:bCs w:val="0"/>
                <w:sz w:val="20"/>
              </w:rPr>
              <w:t>3</w:t>
            </w:r>
          </w:p>
        </w:tc>
        <w:tc>
          <w:tcPr>
            <w:tcW w:w="1134" w:type="dxa"/>
            <w:vAlign w:val="center"/>
          </w:tcPr>
          <w:p>
            <w:pPr>
              <w:spacing w:line="240" w:lineRule="auto"/>
              <w:ind w:firstLine="0" w:firstLineChars="0"/>
              <w:jc w:val="center"/>
              <w:rPr>
                <w:bCs w:val="0"/>
                <w:sz w:val="20"/>
              </w:rPr>
            </w:pPr>
            <w:r>
              <w:rPr>
                <w:rFonts w:hint="eastAsia"/>
                <w:bCs w:val="0"/>
                <w:sz w:val="20"/>
              </w:rPr>
              <w:t>新建南路</w:t>
            </w:r>
          </w:p>
          <w:p>
            <w:pPr>
              <w:spacing w:line="240" w:lineRule="auto"/>
              <w:ind w:firstLine="0" w:firstLineChars="0"/>
              <w:jc w:val="center"/>
              <w:rPr>
                <w:bCs w:val="0"/>
                <w:sz w:val="20"/>
              </w:rPr>
            </w:pPr>
            <w:r>
              <w:rPr>
                <w:rFonts w:hint="eastAsia"/>
                <w:bCs w:val="0"/>
                <w:sz w:val="20"/>
              </w:rPr>
              <w:t>——</w:t>
            </w:r>
          </w:p>
          <w:p>
            <w:pPr>
              <w:spacing w:line="240" w:lineRule="auto"/>
              <w:ind w:firstLine="0" w:firstLineChars="0"/>
              <w:jc w:val="center"/>
              <w:rPr>
                <w:bCs w:val="0"/>
                <w:sz w:val="20"/>
              </w:rPr>
            </w:pPr>
            <w:r>
              <w:rPr>
                <w:rFonts w:hint="eastAsia"/>
                <w:bCs w:val="0"/>
                <w:sz w:val="20"/>
              </w:rPr>
              <w:t>物流城</w:t>
            </w:r>
          </w:p>
        </w:tc>
        <w:tc>
          <w:tcPr>
            <w:tcW w:w="981" w:type="dxa"/>
            <w:vAlign w:val="center"/>
          </w:tcPr>
          <w:p>
            <w:pPr>
              <w:spacing w:line="240" w:lineRule="auto"/>
              <w:ind w:firstLine="0" w:firstLineChars="0"/>
              <w:jc w:val="center"/>
              <w:rPr>
                <w:bCs w:val="0"/>
                <w:sz w:val="20"/>
              </w:rPr>
            </w:pPr>
            <w:r>
              <w:rPr>
                <w:rFonts w:hint="eastAsia"/>
                <w:bCs w:val="0"/>
                <w:sz w:val="20"/>
              </w:rPr>
              <w:t>4.2</w:t>
            </w:r>
          </w:p>
        </w:tc>
        <w:tc>
          <w:tcPr>
            <w:tcW w:w="567" w:type="dxa"/>
            <w:vAlign w:val="center"/>
          </w:tcPr>
          <w:p>
            <w:pPr>
              <w:spacing w:line="240" w:lineRule="auto"/>
              <w:ind w:firstLine="0" w:firstLineChars="0"/>
              <w:jc w:val="center"/>
              <w:rPr>
                <w:bCs w:val="0"/>
                <w:sz w:val="20"/>
              </w:rPr>
            </w:pPr>
            <w:r>
              <w:rPr>
                <w:rFonts w:hint="eastAsia"/>
                <w:bCs w:val="0"/>
                <w:sz w:val="20"/>
              </w:rPr>
              <w:t>20</w:t>
            </w:r>
          </w:p>
        </w:tc>
        <w:tc>
          <w:tcPr>
            <w:tcW w:w="436" w:type="dxa"/>
            <w:vAlign w:val="center"/>
          </w:tcPr>
          <w:p>
            <w:pPr>
              <w:spacing w:line="240" w:lineRule="auto"/>
              <w:ind w:firstLine="0" w:firstLineChars="0"/>
              <w:jc w:val="center"/>
              <w:rPr>
                <w:bCs w:val="0"/>
                <w:sz w:val="20"/>
              </w:rPr>
            </w:pPr>
            <w:r>
              <w:rPr>
                <w:rFonts w:hint="eastAsia"/>
                <w:bCs w:val="0"/>
                <w:sz w:val="20"/>
              </w:rPr>
              <w:t>3</w:t>
            </w:r>
          </w:p>
        </w:tc>
        <w:tc>
          <w:tcPr>
            <w:tcW w:w="851" w:type="dxa"/>
            <w:vAlign w:val="center"/>
          </w:tcPr>
          <w:p>
            <w:pPr>
              <w:spacing w:line="240" w:lineRule="auto"/>
              <w:ind w:firstLine="0" w:firstLineChars="0"/>
              <w:jc w:val="center"/>
              <w:rPr>
                <w:bCs w:val="0"/>
                <w:sz w:val="20"/>
              </w:rPr>
            </w:pPr>
            <w:r>
              <w:rPr>
                <w:rFonts w:hint="eastAsia"/>
                <w:bCs w:val="0"/>
                <w:sz w:val="20"/>
              </w:rPr>
              <w:t>6:30</w:t>
            </w:r>
          </w:p>
          <w:p>
            <w:pPr>
              <w:spacing w:line="240" w:lineRule="auto"/>
              <w:ind w:firstLine="0" w:firstLineChars="0"/>
              <w:jc w:val="center"/>
              <w:rPr>
                <w:bCs w:val="0"/>
                <w:sz w:val="20"/>
              </w:rPr>
            </w:pPr>
            <w:r>
              <w:rPr>
                <w:rFonts w:hint="eastAsia"/>
                <w:bCs w:val="0"/>
                <w:sz w:val="20"/>
              </w:rPr>
              <w:t>——</w:t>
            </w:r>
          </w:p>
          <w:p>
            <w:pPr>
              <w:spacing w:line="240" w:lineRule="auto"/>
              <w:ind w:firstLine="0" w:firstLineChars="0"/>
              <w:jc w:val="center"/>
              <w:rPr>
                <w:bCs w:val="0"/>
                <w:sz w:val="20"/>
              </w:rPr>
            </w:pPr>
            <w:r>
              <w:rPr>
                <w:rFonts w:hint="eastAsia"/>
                <w:bCs w:val="0"/>
                <w:sz w:val="20"/>
              </w:rPr>
              <w:t>21:30</w:t>
            </w:r>
          </w:p>
        </w:tc>
        <w:tc>
          <w:tcPr>
            <w:tcW w:w="5528" w:type="dxa"/>
            <w:vAlign w:val="center"/>
          </w:tcPr>
          <w:p>
            <w:pPr>
              <w:spacing w:line="240" w:lineRule="auto"/>
              <w:ind w:firstLine="0" w:firstLineChars="0"/>
              <w:rPr>
                <w:bCs w:val="0"/>
                <w:sz w:val="20"/>
              </w:rPr>
            </w:pPr>
            <w:r>
              <w:rPr>
                <w:rFonts w:hint="eastAsia"/>
                <w:bCs w:val="0"/>
                <w:sz w:val="20"/>
              </w:rPr>
              <w:t>新建南路－黄水墩村－云和中学－气象局－文化中心－南苑小区－信用联社－华联超市－鲤鱼山小区－老年公园－城北路口－县公安局－中山广场西－前巷小区－交通运输局－广和南山公寓－消防队－滨江公园－白洋墩村－物流城</w:t>
            </w:r>
          </w:p>
        </w:tc>
      </w:tr>
    </w:tbl>
    <w:p>
      <w:pPr>
        <w:ind w:firstLine="421" w:firstLineChars="150"/>
        <w:rPr>
          <w:b/>
        </w:rPr>
      </w:pPr>
    </w:p>
    <w:p>
      <w:pPr>
        <w:ind w:firstLine="421" w:firstLineChars="150"/>
        <w:rPr>
          <w:b/>
        </w:rPr>
      </w:pPr>
      <w:r>
        <w:rPr>
          <w:rFonts w:hint="eastAsia"/>
          <w:b/>
        </w:rPr>
        <w:t>（3）公交票制</w:t>
      </w:r>
    </w:p>
    <w:p>
      <w:pPr>
        <w:ind w:firstLine="560"/>
      </w:pPr>
      <w:r>
        <w:rPr>
          <w:rFonts w:hint="eastAsia"/>
        </w:rPr>
        <w:t>目前，云和县3条公交线路均采用一票到底无人售票模式，票价为</w:t>
      </w:r>
      <w:r>
        <w:t>1.5</w:t>
      </w:r>
      <w:r>
        <w:rPr>
          <w:rFonts w:hint="eastAsia"/>
        </w:rPr>
        <w:t>元</w:t>
      </w:r>
      <w:r>
        <w:t>/</w:t>
      </w:r>
      <w:r>
        <w:rPr>
          <w:rFonts w:hint="eastAsia"/>
        </w:rPr>
        <w:t>人次，采用自动投币和刷</w:t>
      </w:r>
      <w:r>
        <w:t>IC</w:t>
      </w:r>
      <w:r>
        <w:rPr>
          <w:rFonts w:hint="eastAsia"/>
        </w:rPr>
        <w:t>卡的方式乘坐。盲人、</w:t>
      </w:r>
      <w:r>
        <w:t>1—3</w:t>
      </w:r>
      <w:r>
        <w:rPr>
          <w:rFonts w:hint="eastAsia"/>
        </w:rPr>
        <w:t>级肢体残疾（凭残疾证）、</w:t>
      </w:r>
      <w:r>
        <w:t>70</w:t>
      </w:r>
      <w:r>
        <w:rPr>
          <w:rFonts w:hint="eastAsia"/>
        </w:rPr>
        <w:t>岁以上老人（凭老人优惠证）、伤残军人实行免费乘坐；</w:t>
      </w:r>
      <w:r>
        <w:t>60—69</w:t>
      </w:r>
      <w:r>
        <w:rPr>
          <w:rFonts w:hint="eastAsia"/>
        </w:rPr>
        <w:t>岁老人（凭老人证优惠）实行半价优惠；使用</w:t>
      </w:r>
      <w:r>
        <w:t>IC</w:t>
      </w:r>
      <w:r>
        <w:rPr>
          <w:rFonts w:hint="eastAsia"/>
        </w:rPr>
        <w:t>卡的乘客实行</w:t>
      </w:r>
      <w:r>
        <w:t>8</w:t>
      </w:r>
      <w:r>
        <w:rPr>
          <w:rFonts w:hint="eastAsia"/>
        </w:rPr>
        <w:t>折优惠。</w:t>
      </w:r>
    </w:p>
    <w:p>
      <w:pPr>
        <w:ind w:firstLine="0" w:firstLineChars="0"/>
        <w:rPr>
          <w:b/>
        </w:rPr>
      </w:pPr>
      <w:r>
        <w:rPr>
          <w:rFonts w:hint="eastAsia"/>
          <w:b/>
        </w:rPr>
        <w:t>——公共自行车</w:t>
      </w:r>
    </w:p>
    <w:p>
      <w:pPr>
        <w:ind w:firstLine="560"/>
      </w:pPr>
      <w:r>
        <w:rPr>
          <w:rFonts w:hint="eastAsia"/>
        </w:rPr>
        <w:t>为贯彻落实全省节能减排方针政策，有效缓解城市交通拥堵状况，加强城市慢行交通基础设施建设，提供更多惠民工程。到2015年底，云和县共投放</w:t>
      </w:r>
      <w:r>
        <w:t>500</w:t>
      </w:r>
      <w:r>
        <w:rPr>
          <w:rFonts w:hint="eastAsia"/>
        </w:rPr>
        <w:t>辆公共自行车，建设公共自行车停放点</w:t>
      </w:r>
      <w:r>
        <w:t>21</w:t>
      </w:r>
      <w:r>
        <w:rPr>
          <w:rFonts w:hint="eastAsia"/>
        </w:rPr>
        <w:t>个，每个站点根据人流配置20-28辆公共自行车，并实现了全市联网。自行车站点主要分布在（县政府大院、县政府门口、凤凰山公园、普光寺小区门口、地税、中山广场、老二中步行街、老樟树脚下、凤凰山街道、交警大队、水境佳苑东门、稠州银行、山水广场、县江滨小学、移动公司门口、县实验小学、博大超市门口、体育广场、县文化中心、金丰嘉苑门口），如图2-16。全县公共自行车实行60分钟内免费租用，60分钟以上至120分钟（含），收取 1元租车服务费；120分钟以上至180分钟（含），收取2元；租用超过180分钟以上的时间，按每小时3元计费（不足一小时的按一小时计），一天最高费用24元封顶，租车服务费用实行分段合计，换车刷卡时，从租车</w:t>
      </w:r>
      <w:r>
        <w:t>IC</w:t>
      </w:r>
      <w:r>
        <w:rPr>
          <w:rFonts w:hint="eastAsia"/>
        </w:rPr>
        <w:t>卡中结算扣取。租车服务时间为6:00—20:30，还车时间为21:00。</w:t>
      </w:r>
    </w:p>
    <w:p>
      <w:pPr>
        <w:ind w:firstLine="0" w:firstLineChars="0"/>
        <w:jc w:val="center"/>
      </w:pPr>
      <w:r>
        <w:drawing>
          <wp:inline distT="0" distB="0" distL="0" distR="0">
            <wp:extent cx="5614670" cy="6035675"/>
            <wp:effectExtent l="0" t="0" r="0" b="952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5616000" cy="6037148"/>
                    </a:xfrm>
                    <a:prstGeom prst="rect">
                      <a:avLst/>
                    </a:prstGeom>
                    <a:noFill/>
                  </pic:spPr>
                </pic:pic>
              </a:graphicData>
            </a:graphic>
          </wp:inline>
        </w:drawing>
      </w:r>
    </w:p>
    <w:p>
      <w:pPr>
        <w:pStyle w:val="60"/>
      </w:pPr>
      <w:r>
        <w:rPr>
          <w:rFonts w:hint="eastAsia"/>
        </w:rPr>
        <w:t>图2-12云和县公共自行车布点图</w:t>
      </w:r>
    </w:p>
    <w:p>
      <w:pPr>
        <w:ind w:firstLine="140" w:firstLineChars="50"/>
      </w:pPr>
      <w:r>
        <w:rPr>
          <w:rFonts w:hint="eastAsia"/>
        </w:rPr>
        <w:drawing>
          <wp:inline distT="0" distB="0" distL="0" distR="0">
            <wp:extent cx="5605780" cy="2416810"/>
            <wp:effectExtent l="0" t="0" r="7620"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26">
                      <a:extLst>
                        <a:ext uri="{28A0092B-C50C-407E-A947-70E740481C1C}">
                          <a14:useLocalDpi xmlns:a14="http://schemas.microsoft.com/office/drawing/2010/main" val="false"/>
                        </a:ext>
                      </a:extLst>
                    </a:blip>
                    <a:stretch>
                      <a:fillRect/>
                    </a:stretch>
                  </pic:blipFill>
                  <pic:spPr>
                    <a:xfrm>
                      <a:off x="0" y="0"/>
                      <a:ext cx="5606838" cy="2417266"/>
                    </a:xfrm>
                    <a:prstGeom prst="rect">
                      <a:avLst/>
                    </a:prstGeom>
                  </pic:spPr>
                </pic:pic>
              </a:graphicData>
            </a:graphic>
          </wp:inline>
        </w:drawing>
      </w:r>
    </w:p>
    <w:p>
      <w:pPr>
        <w:pStyle w:val="60"/>
      </w:pPr>
      <w:r>
        <w:rPr>
          <w:rFonts w:hint="eastAsia"/>
        </w:rPr>
        <w:t>图</w:t>
      </w:r>
      <w:r>
        <w:t>2-</w:t>
      </w:r>
      <w:r>
        <w:rPr>
          <w:rFonts w:hint="eastAsia"/>
        </w:rPr>
        <w:t>13云和县公共自行车布点图（一期）</w:t>
      </w:r>
    </w:p>
    <w:p>
      <w:pPr>
        <w:pStyle w:val="3"/>
        <w:spacing w:before="190" w:after="190"/>
      </w:pPr>
      <w:bookmarkStart w:id="21" w:name="_Toc340220194"/>
      <w:bookmarkStart w:id="22" w:name="_Toc317843278"/>
      <w:r>
        <w:t>2.3</w:t>
      </w:r>
      <w:r>
        <w:rPr>
          <w:rFonts w:hint="eastAsia"/>
        </w:rPr>
        <w:t>“十二五”道路运输业发展取得的主要成就</w:t>
      </w:r>
      <w:bookmarkEnd w:id="21"/>
      <w:bookmarkEnd w:id="22"/>
    </w:p>
    <w:p>
      <w:pPr>
        <w:ind w:firstLine="0" w:firstLineChars="0"/>
        <w:rPr>
          <w:b/>
        </w:rPr>
      </w:pPr>
      <w:r>
        <w:rPr>
          <w:rFonts w:hint="eastAsia"/>
          <w:b/>
        </w:rPr>
        <w:t>（</w:t>
      </w:r>
      <w:r>
        <w:rPr>
          <w:b/>
        </w:rPr>
        <w:t>1</w:t>
      </w:r>
      <w:r>
        <w:rPr>
          <w:rFonts w:hint="eastAsia"/>
          <w:b/>
        </w:rPr>
        <w:t>）交通基础设施建设全面加快，大力推进“美丽县城”建设</w:t>
      </w:r>
    </w:p>
    <w:p>
      <w:pPr>
        <w:ind w:firstLine="560"/>
      </w:pPr>
      <w:r>
        <w:rPr>
          <w:rFonts w:hint="eastAsia"/>
        </w:rPr>
        <w:t>“十二五</w:t>
      </w:r>
      <w:r>
        <w:t>”</w:t>
      </w:r>
      <w:r>
        <w:rPr>
          <w:rFonts w:hint="eastAsia"/>
        </w:rPr>
        <w:t>期间，借助“美丽县城”、“三改一拆”、“五水共治”等建设工作的开展，道路运输管理部门不断加强基础设施建设、提高运输服务效率。到“十二五”末期，云和县</w:t>
      </w:r>
      <w:r>
        <w:t>“</w:t>
      </w:r>
      <w:r>
        <w:rPr>
          <w:rFonts w:hint="eastAsia"/>
        </w:rPr>
        <w:t>五横四纵七联</w:t>
      </w:r>
      <w:r>
        <w:t>”</w:t>
      </w:r>
      <w:r>
        <w:rPr>
          <w:rFonts w:hint="eastAsia"/>
        </w:rPr>
        <w:t>公路网日趋完善，公交站场及枢纽建设不断加快，城乡公交一体化水平不断提高，道路客运、货运、物流行业均稳步发展。总体来看，“十二五</w:t>
      </w:r>
      <w:r>
        <w:t>”</w:t>
      </w:r>
      <w:r>
        <w:rPr>
          <w:rFonts w:hint="eastAsia"/>
        </w:rPr>
        <w:t>期间云和县道路运输行业发展基本适应社会经济快速前进的步伐，在一定程度上较好地满足了人们日益精细化的运输服务需求。</w:t>
      </w:r>
    </w:p>
    <w:p>
      <w:pPr>
        <w:ind w:firstLine="0" w:firstLineChars="0"/>
        <w:rPr>
          <w:b/>
        </w:rPr>
      </w:pPr>
      <w:r>
        <w:rPr>
          <w:rFonts w:hint="eastAsia"/>
          <w:b/>
        </w:rPr>
        <w:t>（2）行业服务水平不断提升</w:t>
      </w:r>
    </w:p>
    <w:p>
      <w:pPr>
        <w:ind w:firstLine="0" w:firstLineChars="0"/>
        <w:rPr>
          <w:b/>
        </w:rPr>
      </w:pPr>
      <w:r>
        <w:rPr>
          <w:rFonts w:hint="eastAsia"/>
          <w:b/>
        </w:rPr>
        <w:t>——开展农村客运班线补贴，提升农村居民乘车环境</w:t>
      </w:r>
    </w:p>
    <w:p>
      <w:pPr>
        <w:ind w:firstLine="560" w:firstLineChars="0"/>
      </w:pPr>
      <w:r>
        <w:rPr>
          <w:rFonts w:hint="eastAsia" w:ascii="宋体" w:hAnsi="宋体"/>
          <w:szCs w:val="28"/>
        </w:rPr>
        <w:t>为了改善农村客运班车实载率不高，班车经营效益不好，车辆老旧、技术状况差等一系列问题，2010年云和县人民政府出台了《云和县农村客运班车补助暂行办法》（暂行办法</w:t>
      </w:r>
      <w:r>
        <w:rPr>
          <w:rFonts w:ascii="宋体" w:hAnsi="宋体"/>
          <w:szCs w:val="28"/>
        </w:rPr>
        <w:t>自201</w:t>
      </w:r>
      <w:r>
        <w:rPr>
          <w:rFonts w:hint="eastAsia" w:ascii="宋体" w:hAnsi="宋体"/>
          <w:szCs w:val="28"/>
        </w:rPr>
        <w:t>0</w:t>
      </w:r>
      <w:r>
        <w:rPr>
          <w:rFonts w:ascii="宋体" w:hAnsi="宋体"/>
          <w:szCs w:val="28"/>
        </w:rPr>
        <w:t>年1月1日开始实施，暂行</w:t>
      </w:r>
      <w:r>
        <w:rPr>
          <w:rFonts w:hint="eastAsia" w:ascii="宋体" w:hAnsi="宋体"/>
          <w:szCs w:val="28"/>
        </w:rPr>
        <w:t>2</w:t>
      </w:r>
      <w:r>
        <w:rPr>
          <w:rFonts w:ascii="宋体" w:hAnsi="宋体"/>
          <w:szCs w:val="28"/>
        </w:rPr>
        <w:t>年</w:t>
      </w:r>
      <w:r>
        <w:rPr>
          <w:rFonts w:hint="eastAsia" w:ascii="宋体" w:hAnsi="宋体"/>
          <w:szCs w:val="28"/>
        </w:rPr>
        <w:t>）。实施考核奖励，体现政府关怀，体恤农村客运经营者，不仅确保了全县现有农村客运班车“开得通、留得住、有效益”，而且还延伸了现有农村班线，使农村群众出行“</w:t>
      </w:r>
      <w:r>
        <w:rPr>
          <w:rFonts w:ascii="宋体" w:hAnsi="宋体"/>
          <w:szCs w:val="28"/>
        </w:rPr>
        <w:t>走得了、走得安全、走得好</w:t>
      </w:r>
      <w:r>
        <w:rPr>
          <w:rFonts w:hint="eastAsia" w:ascii="宋体" w:hAnsi="宋体"/>
          <w:szCs w:val="28"/>
        </w:rPr>
        <w:t>”。2010年至今，新开通16个行政村，农村客运班线通村率从77%上升到87.5%，稳定了农村客运市场。此外，云和县出台了《关于扶持农村客运班车运营的实施意见》（实施意见</w:t>
      </w:r>
      <w:r>
        <w:rPr>
          <w:rFonts w:ascii="宋体" w:hAnsi="宋体"/>
          <w:szCs w:val="28"/>
        </w:rPr>
        <w:t>自201</w:t>
      </w:r>
      <w:r>
        <w:rPr>
          <w:rFonts w:hint="eastAsia" w:ascii="宋体" w:hAnsi="宋体"/>
          <w:szCs w:val="28"/>
        </w:rPr>
        <w:t>2</w:t>
      </w:r>
      <w:r>
        <w:rPr>
          <w:rFonts w:ascii="宋体" w:hAnsi="宋体"/>
          <w:szCs w:val="28"/>
        </w:rPr>
        <w:t>年1月1日开始实施，暂行</w:t>
      </w:r>
      <w:r>
        <w:rPr>
          <w:rFonts w:hint="eastAsia" w:ascii="宋体" w:hAnsi="宋体"/>
          <w:szCs w:val="28"/>
        </w:rPr>
        <w:t>3</w:t>
      </w:r>
      <w:r>
        <w:rPr>
          <w:rFonts w:ascii="宋体" w:hAnsi="宋体"/>
          <w:szCs w:val="28"/>
        </w:rPr>
        <w:t>年</w:t>
      </w:r>
      <w:r>
        <w:rPr>
          <w:rFonts w:hint="eastAsia" w:ascii="宋体" w:hAnsi="宋体"/>
          <w:szCs w:val="28"/>
        </w:rPr>
        <w:t>），该《办法》在第一轮“以奖代补”制度基础上，</w:t>
      </w:r>
      <w:r>
        <w:rPr>
          <w:rFonts w:hint="eastAsia" w:ascii="宋体" w:hAnsi="宋体"/>
          <w:color w:val="000000"/>
          <w:szCs w:val="28"/>
        </w:rPr>
        <w:t>提高了车辆更新的扶持力度。截</w:t>
      </w:r>
      <w:r>
        <w:rPr>
          <w:rFonts w:hint="eastAsia" w:ascii="宋体" w:hAnsi="宋体"/>
          <w:color w:val="000000"/>
          <w:szCs w:val="28"/>
          <w:lang w:eastAsia="zh-CN"/>
        </w:rPr>
        <w:t>至</w:t>
      </w:r>
      <w:r>
        <w:rPr>
          <w:rFonts w:hint="eastAsia" w:ascii="宋体" w:hAnsi="宋体"/>
          <w:color w:val="000000"/>
          <w:szCs w:val="28"/>
        </w:rPr>
        <w:t>2012年年底，27辆10年以上的农客班车经资源整合后全部报废，更新为25辆空调中巴。</w:t>
      </w:r>
      <w:r>
        <w:rPr>
          <w:rFonts w:hint="eastAsia"/>
        </w:rPr>
        <w:t>到2014年底共更新29辆，为农村群众安全舒适出行提供良好服务。</w:t>
      </w:r>
    </w:p>
    <w:p>
      <w:pPr>
        <w:ind w:firstLine="0" w:firstLineChars="0"/>
        <w:rPr>
          <w:b/>
        </w:rPr>
      </w:pPr>
      <w:r>
        <w:rPr>
          <w:rFonts w:hint="eastAsia"/>
          <w:b/>
        </w:rPr>
        <w:t>——开通行业服务电话，提升行业服务水平和质量</w:t>
      </w:r>
    </w:p>
    <w:p>
      <w:pPr>
        <w:ind w:firstLine="560" w:firstLineChars="0"/>
      </w:pPr>
      <w:r>
        <w:rPr>
          <w:rFonts w:hint="eastAsia"/>
        </w:rPr>
        <w:t>云和县道路运输管理局积极做好道路运输行业投诉举报服务工作。接听好96520（12328）热线服务电话工作，搭建好与人民群众沟通联系的桥梁，通过群众的监督，及时发现道路运输行业以及行业监管中存在的问题和不足，真正做到24小时热线电话保持畅通，认真受理登记每个案件，做到“事事有回音、件件有落实”。</w:t>
      </w:r>
    </w:p>
    <w:p>
      <w:pPr>
        <w:pStyle w:val="60"/>
      </w:pPr>
      <w:r>
        <w:rPr>
          <w:rFonts w:hint="eastAsia"/>
        </w:rPr>
        <w:t>表2-72011-2015年云和县服务热线受理情况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289"/>
        <w:gridCol w:w="1290"/>
        <w:gridCol w:w="1289"/>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shd w:val="clear" w:color="auto" w:fill="D8D8D8" w:themeFill="background1" w:themeFillShade="D9"/>
            <w:vAlign w:val="center"/>
          </w:tcPr>
          <w:p>
            <w:pPr>
              <w:spacing w:line="460" w:lineRule="exact"/>
              <w:ind w:firstLine="0" w:firstLineChars="0"/>
              <w:jc w:val="center"/>
              <w:rPr>
                <w:rFonts w:ascii="宋体" w:hAnsi="宋体"/>
                <w:b/>
                <w:bCs/>
                <w:sz w:val="24"/>
              </w:rPr>
            </w:pPr>
          </w:p>
        </w:tc>
        <w:tc>
          <w:tcPr>
            <w:tcW w:w="1289"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2011</w:t>
            </w:r>
          </w:p>
        </w:tc>
        <w:tc>
          <w:tcPr>
            <w:tcW w:w="1290"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2012</w:t>
            </w:r>
          </w:p>
        </w:tc>
        <w:tc>
          <w:tcPr>
            <w:tcW w:w="1289"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2013</w:t>
            </w:r>
          </w:p>
        </w:tc>
        <w:tc>
          <w:tcPr>
            <w:tcW w:w="1290"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2014</w:t>
            </w:r>
          </w:p>
        </w:tc>
        <w:tc>
          <w:tcPr>
            <w:tcW w:w="1290"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Align w:val="center"/>
          </w:tcPr>
          <w:p>
            <w:pPr>
              <w:spacing w:line="460" w:lineRule="exact"/>
              <w:ind w:firstLine="0" w:firstLineChars="0"/>
              <w:jc w:val="center"/>
              <w:rPr>
                <w:rFonts w:ascii="宋体" w:hAnsi="宋体"/>
                <w:bCs/>
                <w:sz w:val="24"/>
              </w:rPr>
            </w:pPr>
            <w:r>
              <w:rPr>
                <w:rFonts w:hint="eastAsia" w:ascii="宋体" w:hAnsi="宋体"/>
                <w:bCs/>
                <w:sz w:val="24"/>
              </w:rPr>
              <w:t>受理件</w:t>
            </w:r>
          </w:p>
        </w:tc>
        <w:tc>
          <w:tcPr>
            <w:tcW w:w="1289" w:type="dxa"/>
            <w:vAlign w:val="center"/>
          </w:tcPr>
          <w:p>
            <w:pPr>
              <w:spacing w:line="460" w:lineRule="exact"/>
              <w:ind w:firstLine="199" w:firstLineChars="83"/>
              <w:rPr>
                <w:rFonts w:ascii="宋体" w:hAnsi="宋体"/>
                <w:bCs/>
                <w:sz w:val="24"/>
              </w:rPr>
            </w:pPr>
            <w:r>
              <w:rPr>
                <w:rFonts w:hint="eastAsia" w:ascii="宋体" w:hAnsi="宋体"/>
                <w:bCs/>
                <w:sz w:val="24"/>
              </w:rPr>
              <w:t xml:space="preserve">  39</w:t>
            </w:r>
          </w:p>
        </w:tc>
        <w:tc>
          <w:tcPr>
            <w:tcW w:w="1290" w:type="dxa"/>
            <w:vAlign w:val="center"/>
          </w:tcPr>
          <w:p>
            <w:pPr>
              <w:spacing w:line="460" w:lineRule="exact"/>
              <w:ind w:firstLine="480"/>
              <w:rPr>
                <w:rFonts w:ascii="宋体" w:hAnsi="宋体"/>
                <w:bCs/>
                <w:sz w:val="24"/>
              </w:rPr>
            </w:pPr>
            <w:r>
              <w:rPr>
                <w:rFonts w:hint="eastAsia" w:ascii="宋体" w:hAnsi="宋体"/>
                <w:bCs/>
                <w:sz w:val="24"/>
              </w:rPr>
              <w:t>35</w:t>
            </w:r>
          </w:p>
        </w:tc>
        <w:tc>
          <w:tcPr>
            <w:tcW w:w="1289" w:type="dxa"/>
            <w:vAlign w:val="center"/>
          </w:tcPr>
          <w:p>
            <w:pPr>
              <w:spacing w:line="460" w:lineRule="exact"/>
              <w:ind w:firstLine="480"/>
              <w:rPr>
                <w:rFonts w:ascii="宋体" w:hAnsi="宋体"/>
                <w:bCs/>
                <w:sz w:val="24"/>
              </w:rPr>
            </w:pPr>
            <w:r>
              <w:rPr>
                <w:rFonts w:hint="eastAsia" w:ascii="宋体" w:hAnsi="宋体"/>
                <w:bCs/>
                <w:sz w:val="24"/>
              </w:rPr>
              <w:t>28</w:t>
            </w:r>
          </w:p>
        </w:tc>
        <w:tc>
          <w:tcPr>
            <w:tcW w:w="1290" w:type="dxa"/>
            <w:vAlign w:val="center"/>
          </w:tcPr>
          <w:p>
            <w:pPr>
              <w:spacing w:line="460" w:lineRule="exact"/>
              <w:ind w:firstLine="480"/>
              <w:rPr>
                <w:rFonts w:ascii="宋体" w:hAnsi="宋体"/>
                <w:bCs/>
                <w:sz w:val="24"/>
              </w:rPr>
            </w:pPr>
            <w:r>
              <w:rPr>
                <w:rFonts w:hint="eastAsia" w:ascii="宋体" w:hAnsi="宋体"/>
                <w:bCs/>
                <w:sz w:val="24"/>
              </w:rPr>
              <w:t>43</w:t>
            </w:r>
          </w:p>
        </w:tc>
        <w:tc>
          <w:tcPr>
            <w:tcW w:w="1290" w:type="dxa"/>
            <w:vAlign w:val="center"/>
          </w:tcPr>
          <w:p>
            <w:pPr>
              <w:spacing w:line="460" w:lineRule="exact"/>
              <w:ind w:firstLine="480"/>
              <w:rPr>
                <w:rFonts w:ascii="宋体" w:hAnsi="宋体"/>
                <w:bCs/>
                <w:sz w:val="24"/>
              </w:rPr>
            </w:pPr>
            <w:r>
              <w:rPr>
                <w:rFonts w:hint="eastAsia" w:ascii="宋体" w:hAnsi="宋体"/>
                <w:bCs/>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restart"/>
            <w:vAlign w:val="center"/>
          </w:tcPr>
          <w:p>
            <w:pPr>
              <w:spacing w:line="460" w:lineRule="exact"/>
              <w:ind w:firstLine="0" w:firstLineChars="0"/>
              <w:jc w:val="center"/>
              <w:rPr>
                <w:rFonts w:ascii="宋体" w:hAnsi="宋体"/>
                <w:bCs/>
                <w:sz w:val="24"/>
              </w:rPr>
            </w:pPr>
            <w:r>
              <w:rPr>
                <w:rFonts w:hint="eastAsia" w:ascii="宋体" w:hAnsi="宋体"/>
                <w:bCs/>
                <w:sz w:val="24"/>
              </w:rPr>
              <w:t>其中举报：</w:t>
            </w:r>
          </w:p>
          <w:p>
            <w:pPr>
              <w:spacing w:line="460" w:lineRule="exact"/>
              <w:ind w:firstLine="0" w:firstLineChars="0"/>
              <w:jc w:val="center"/>
              <w:rPr>
                <w:rFonts w:ascii="宋体" w:hAnsi="宋体"/>
                <w:bCs/>
                <w:sz w:val="24"/>
              </w:rPr>
            </w:pPr>
            <w:r>
              <w:rPr>
                <w:rFonts w:hint="eastAsia" w:ascii="宋体" w:hAnsi="宋体"/>
                <w:bCs/>
                <w:sz w:val="24"/>
              </w:rPr>
              <w:t>投诉：</w:t>
            </w:r>
          </w:p>
        </w:tc>
        <w:tc>
          <w:tcPr>
            <w:tcW w:w="1289" w:type="dxa"/>
            <w:vAlign w:val="center"/>
          </w:tcPr>
          <w:p>
            <w:pPr>
              <w:spacing w:line="460" w:lineRule="exact"/>
              <w:ind w:firstLine="480"/>
              <w:rPr>
                <w:rFonts w:ascii="宋体" w:hAnsi="宋体"/>
                <w:bCs/>
                <w:sz w:val="24"/>
              </w:rPr>
            </w:pPr>
            <w:r>
              <w:rPr>
                <w:rFonts w:hint="eastAsia" w:ascii="宋体" w:hAnsi="宋体"/>
                <w:bCs/>
                <w:sz w:val="24"/>
              </w:rPr>
              <w:t>6</w:t>
            </w:r>
          </w:p>
        </w:tc>
        <w:tc>
          <w:tcPr>
            <w:tcW w:w="1290" w:type="dxa"/>
            <w:vAlign w:val="center"/>
          </w:tcPr>
          <w:p>
            <w:pPr>
              <w:spacing w:line="460" w:lineRule="exact"/>
              <w:ind w:firstLine="480"/>
              <w:rPr>
                <w:rFonts w:ascii="宋体" w:hAnsi="宋体"/>
                <w:bCs/>
                <w:sz w:val="24"/>
              </w:rPr>
            </w:pPr>
            <w:r>
              <w:rPr>
                <w:rFonts w:hint="eastAsia" w:ascii="宋体" w:hAnsi="宋体"/>
                <w:bCs/>
                <w:sz w:val="24"/>
              </w:rPr>
              <w:t>7</w:t>
            </w:r>
          </w:p>
        </w:tc>
        <w:tc>
          <w:tcPr>
            <w:tcW w:w="1289" w:type="dxa"/>
            <w:vAlign w:val="center"/>
          </w:tcPr>
          <w:p>
            <w:pPr>
              <w:spacing w:line="460" w:lineRule="exact"/>
              <w:ind w:firstLine="480"/>
              <w:rPr>
                <w:rFonts w:ascii="宋体" w:hAnsi="宋体"/>
                <w:bCs/>
                <w:sz w:val="24"/>
              </w:rPr>
            </w:pPr>
            <w:r>
              <w:rPr>
                <w:rFonts w:hint="eastAsia" w:ascii="宋体" w:hAnsi="宋体"/>
                <w:bCs/>
                <w:sz w:val="24"/>
              </w:rPr>
              <w:t>8</w:t>
            </w:r>
          </w:p>
        </w:tc>
        <w:tc>
          <w:tcPr>
            <w:tcW w:w="1290" w:type="dxa"/>
            <w:vAlign w:val="center"/>
          </w:tcPr>
          <w:p>
            <w:pPr>
              <w:spacing w:line="460" w:lineRule="exact"/>
              <w:ind w:firstLine="480"/>
              <w:rPr>
                <w:rFonts w:ascii="宋体" w:hAnsi="宋体"/>
                <w:bCs/>
                <w:sz w:val="24"/>
              </w:rPr>
            </w:pPr>
            <w:r>
              <w:rPr>
                <w:rFonts w:hint="eastAsia" w:ascii="宋体" w:hAnsi="宋体"/>
                <w:bCs/>
                <w:sz w:val="24"/>
              </w:rPr>
              <w:t>2</w:t>
            </w:r>
          </w:p>
        </w:tc>
        <w:tc>
          <w:tcPr>
            <w:tcW w:w="1290" w:type="dxa"/>
            <w:vAlign w:val="center"/>
          </w:tcPr>
          <w:p>
            <w:pPr>
              <w:spacing w:line="460" w:lineRule="exact"/>
              <w:ind w:firstLine="480"/>
              <w:rPr>
                <w:rFonts w:ascii="宋体" w:hAnsi="宋体"/>
                <w:bCs/>
                <w:sz w:val="24"/>
              </w:rPr>
            </w:pPr>
            <w:r>
              <w:rPr>
                <w:rFonts w:hint="eastAsia" w:ascii="宋体" w:hAnsi="宋体"/>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13</w:t>
            </w:r>
          </w:p>
        </w:tc>
        <w:tc>
          <w:tcPr>
            <w:tcW w:w="1290" w:type="dxa"/>
            <w:vAlign w:val="center"/>
          </w:tcPr>
          <w:p>
            <w:pPr>
              <w:spacing w:line="460" w:lineRule="exact"/>
              <w:ind w:firstLine="480"/>
              <w:rPr>
                <w:rFonts w:ascii="宋体" w:hAnsi="宋体"/>
                <w:bCs/>
                <w:sz w:val="24"/>
              </w:rPr>
            </w:pPr>
            <w:r>
              <w:rPr>
                <w:rFonts w:hint="eastAsia" w:ascii="宋体" w:hAnsi="宋体"/>
                <w:bCs/>
                <w:sz w:val="24"/>
              </w:rPr>
              <w:t>11</w:t>
            </w:r>
          </w:p>
        </w:tc>
        <w:tc>
          <w:tcPr>
            <w:tcW w:w="1289" w:type="dxa"/>
            <w:vAlign w:val="center"/>
          </w:tcPr>
          <w:p>
            <w:pPr>
              <w:spacing w:line="460" w:lineRule="exact"/>
              <w:ind w:firstLine="480"/>
              <w:rPr>
                <w:rFonts w:ascii="宋体" w:hAnsi="宋体"/>
                <w:bCs/>
                <w:sz w:val="24"/>
              </w:rPr>
            </w:pPr>
            <w:r>
              <w:rPr>
                <w:rFonts w:hint="eastAsia" w:ascii="宋体" w:hAnsi="宋体"/>
                <w:bCs/>
                <w:sz w:val="24"/>
              </w:rPr>
              <w:t>5</w:t>
            </w:r>
          </w:p>
        </w:tc>
        <w:tc>
          <w:tcPr>
            <w:tcW w:w="1290" w:type="dxa"/>
            <w:vAlign w:val="center"/>
          </w:tcPr>
          <w:p>
            <w:pPr>
              <w:spacing w:line="460" w:lineRule="exact"/>
              <w:ind w:firstLine="480"/>
              <w:rPr>
                <w:rFonts w:ascii="宋体" w:hAnsi="宋体"/>
                <w:bCs/>
                <w:sz w:val="24"/>
              </w:rPr>
            </w:pPr>
            <w:r>
              <w:rPr>
                <w:rFonts w:hint="eastAsia" w:ascii="宋体" w:hAnsi="宋体"/>
                <w:bCs/>
                <w:sz w:val="24"/>
              </w:rPr>
              <w:t>6</w:t>
            </w:r>
          </w:p>
        </w:tc>
        <w:tc>
          <w:tcPr>
            <w:tcW w:w="1290" w:type="dxa"/>
            <w:vAlign w:val="center"/>
          </w:tcPr>
          <w:p>
            <w:pPr>
              <w:spacing w:line="460" w:lineRule="exact"/>
              <w:ind w:firstLine="480"/>
              <w:rPr>
                <w:rFonts w:ascii="宋体" w:hAnsi="宋体"/>
                <w:bCs/>
                <w:sz w:val="24"/>
              </w:rPr>
            </w:pPr>
            <w:r>
              <w:rPr>
                <w:rFonts w:hint="eastAsia" w:ascii="宋体" w:hAnsi="宋体"/>
                <w:bCs/>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restart"/>
            <w:vAlign w:val="center"/>
          </w:tcPr>
          <w:p>
            <w:pPr>
              <w:spacing w:line="460" w:lineRule="exact"/>
              <w:ind w:firstLine="0" w:firstLineChars="0"/>
              <w:jc w:val="center"/>
              <w:rPr>
                <w:rFonts w:ascii="宋体" w:hAnsi="宋体"/>
                <w:bCs/>
                <w:sz w:val="24"/>
              </w:rPr>
            </w:pPr>
            <w:r>
              <w:rPr>
                <w:rFonts w:hint="eastAsia" w:ascii="宋体" w:hAnsi="宋体"/>
                <w:bCs/>
                <w:sz w:val="24"/>
              </w:rPr>
              <w:t>其中客运：</w:t>
            </w:r>
          </w:p>
          <w:p>
            <w:pPr>
              <w:spacing w:line="460" w:lineRule="exact"/>
              <w:ind w:firstLine="0" w:firstLineChars="0"/>
              <w:jc w:val="center"/>
              <w:rPr>
                <w:rFonts w:ascii="宋体" w:hAnsi="宋体"/>
                <w:bCs/>
                <w:sz w:val="24"/>
              </w:rPr>
            </w:pPr>
            <w:r>
              <w:rPr>
                <w:rFonts w:hint="eastAsia" w:ascii="宋体" w:hAnsi="宋体"/>
                <w:bCs/>
                <w:sz w:val="24"/>
              </w:rPr>
              <w:t>客运站：</w:t>
            </w:r>
          </w:p>
          <w:p>
            <w:pPr>
              <w:spacing w:line="460" w:lineRule="exact"/>
              <w:ind w:firstLine="0" w:firstLineChars="0"/>
              <w:jc w:val="center"/>
              <w:rPr>
                <w:rFonts w:ascii="宋体" w:hAnsi="宋体"/>
                <w:bCs/>
                <w:sz w:val="24"/>
              </w:rPr>
            </w:pPr>
            <w:r>
              <w:rPr>
                <w:rFonts w:hint="eastAsia" w:ascii="宋体" w:hAnsi="宋体"/>
                <w:bCs/>
                <w:sz w:val="24"/>
              </w:rPr>
              <w:t>城市公交：</w:t>
            </w:r>
          </w:p>
          <w:p>
            <w:pPr>
              <w:spacing w:line="460" w:lineRule="exact"/>
              <w:ind w:firstLine="0" w:firstLineChars="0"/>
              <w:jc w:val="center"/>
              <w:rPr>
                <w:rFonts w:ascii="宋体" w:hAnsi="宋体"/>
                <w:bCs/>
                <w:sz w:val="24"/>
              </w:rPr>
            </w:pPr>
            <w:r>
              <w:rPr>
                <w:rFonts w:hint="eastAsia" w:ascii="宋体" w:hAnsi="宋体"/>
                <w:bCs/>
                <w:sz w:val="24"/>
              </w:rPr>
              <w:t>货运：</w:t>
            </w:r>
          </w:p>
          <w:p>
            <w:pPr>
              <w:spacing w:line="460" w:lineRule="exact"/>
              <w:ind w:firstLine="0" w:firstLineChars="0"/>
              <w:jc w:val="center"/>
              <w:rPr>
                <w:rFonts w:ascii="宋体" w:hAnsi="宋体"/>
                <w:bCs/>
                <w:sz w:val="24"/>
              </w:rPr>
            </w:pPr>
            <w:r>
              <w:rPr>
                <w:rFonts w:hint="eastAsia" w:ascii="宋体" w:hAnsi="宋体"/>
                <w:bCs/>
                <w:sz w:val="24"/>
              </w:rPr>
              <w:t>维修：</w:t>
            </w:r>
          </w:p>
          <w:p>
            <w:pPr>
              <w:spacing w:line="460" w:lineRule="exact"/>
              <w:ind w:firstLine="0" w:firstLineChars="0"/>
              <w:jc w:val="center"/>
              <w:rPr>
                <w:rFonts w:ascii="宋体" w:hAnsi="宋体"/>
                <w:bCs/>
                <w:sz w:val="24"/>
              </w:rPr>
            </w:pPr>
            <w:r>
              <w:rPr>
                <w:rFonts w:hint="eastAsia" w:ascii="宋体" w:hAnsi="宋体"/>
                <w:bCs/>
                <w:sz w:val="24"/>
              </w:rPr>
              <w:t>驾培：</w:t>
            </w:r>
          </w:p>
        </w:tc>
        <w:tc>
          <w:tcPr>
            <w:tcW w:w="1289" w:type="dxa"/>
            <w:vAlign w:val="center"/>
          </w:tcPr>
          <w:p>
            <w:pPr>
              <w:spacing w:line="460" w:lineRule="exact"/>
              <w:ind w:firstLine="480"/>
              <w:rPr>
                <w:rFonts w:ascii="宋体" w:hAnsi="宋体"/>
                <w:bCs/>
                <w:sz w:val="24"/>
              </w:rPr>
            </w:pPr>
            <w:r>
              <w:rPr>
                <w:rFonts w:hint="eastAsia" w:ascii="宋体" w:hAnsi="宋体"/>
                <w:bCs/>
                <w:sz w:val="24"/>
              </w:rPr>
              <w:t>13</w:t>
            </w:r>
          </w:p>
        </w:tc>
        <w:tc>
          <w:tcPr>
            <w:tcW w:w="1290" w:type="dxa"/>
            <w:vAlign w:val="center"/>
          </w:tcPr>
          <w:p>
            <w:pPr>
              <w:spacing w:line="460" w:lineRule="exact"/>
              <w:ind w:firstLine="480"/>
              <w:rPr>
                <w:rFonts w:ascii="宋体" w:hAnsi="宋体"/>
                <w:bCs/>
                <w:sz w:val="24"/>
              </w:rPr>
            </w:pPr>
            <w:r>
              <w:rPr>
                <w:rFonts w:hint="eastAsia" w:ascii="宋体" w:hAnsi="宋体"/>
                <w:bCs/>
                <w:sz w:val="24"/>
              </w:rPr>
              <w:t>15</w:t>
            </w:r>
          </w:p>
        </w:tc>
        <w:tc>
          <w:tcPr>
            <w:tcW w:w="1289" w:type="dxa"/>
            <w:vAlign w:val="center"/>
          </w:tcPr>
          <w:p>
            <w:pPr>
              <w:spacing w:line="460" w:lineRule="exact"/>
              <w:ind w:firstLine="480"/>
              <w:rPr>
                <w:rFonts w:ascii="宋体" w:hAnsi="宋体"/>
                <w:bCs/>
                <w:sz w:val="24"/>
              </w:rPr>
            </w:pPr>
            <w:r>
              <w:rPr>
                <w:rFonts w:hint="eastAsia" w:ascii="宋体" w:hAnsi="宋体"/>
                <w:bCs/>
                <w:sz w:val="24"/>
              </w:rPr>
              <w:t>6</w:t>
            </w:r>
          </w:p>
        </w:tc>
        <w:tc>
          <w:tcPr>
            <w:tcW w:w="1290" w:type="dxa"/>
            <w:vAlign w:val="center"/>
          </w:tcPr>
          <w:p>
            <w:pPr>
              <w:spacing w:line="460" w:lineRule="exact"/>
              <w:ind w:firstLine="480"/>
              <w:rPr>
                <w:rFonts w:ascii="宋体" w:hAnsi="宋体"/>
                <w:bCs/>
                <w:sz w:val="24"/>
              </w:rPr>
            </w:pPr>
            <w:r>
              <w:rPr>
                <w:rFonts w:hint="eastAsia" w:ascii="宋体" w:hAnsi="宋体"/>
                <w:bCs/>
                <w:sz w:val="24"/>
              </w:rPr>
              <w:t>5</w:t>
            </w:r>
          </w:p>
        </w:tc>
        <w:tc>
          <w:tcPr>
            <w:tcW w:w="1290" w:type="dxa"/>
            <w:vAlign w:val="center"/>
          </w:tcPr>
          <w:p>
            <w:pPr>
              <w:spacing w:line="460" w:lineRule="exact"/>
              <w:ind w:firstLine="480"/>
              <w:rPr>
                <w:rFonts w:ascii="宋体" w:hAnsi="宋体"/>
                <w:bCs/>
                <w:sz w:val="24"/>
              </w:rPr>
            </w:pPr>
            <w:r>
              <w:rPr>
                <w:rFonts w:hint="eastAsia" w:ascii="宋体" w:hAnsi="宋体"/>
                <w:b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2</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89"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1</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89"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2</w:t>
            </w:r>
          </w:p>
        </w:tc>
        <w:tc>
          <w:tcPr>
            <w:tcW w:w="1290" w:type="dxa"/>
            <w:vAlign w:val="center"/>
          </w:tcPr>
          <w:p>
            <w:pPr>
              <w:spacing w:line="460" w:lineRule="exact"/>
              <w:ind w:firstLine="480"/>
              <w:rPr>
                <w:rFonts w:ascii="宋体" w:hAnsi="宋体"/>
                <w:bCs/>
                <w:sz w:val="24"/>
              </w:rPr>
            </w:pPr>
            <w:r>
              <w:rPr>
                <w:rFonts w:hint="eastAsia" w:ascii="宋体" w:hAnsi="宋体"/>
                <w:bCs/>
                <w:sz w:val="24"/>
              </w:rPr>
              <w:t>2</w:t>
            </w:r>
          </w:p>
        </w:tc>
        <w:tc>
          <w:tcPr>
            <w:tcW w:w="1289"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c>
          <w:tcPr>
            <w:tcW w:w="1289" w:type="dxa"/>
            <w:vAlign w:val="center"/>
          </w:tcPr>
          <w:p>
            <w:pPr>
              <w:spacing w:line="460" w:lineRule="exact"/>
              <w:ind w:firstLine="480"/>
              <w:rPr>
                <w:rFonts w:ascii="宋体" w:hAnsi="宋体"/>
                <w:bCs/>
                <w:sz w:val="24"/>
              </w:rPr>
            </w:pPr>
            <w:r>
              <w:rPr>
                <w:rFonts w:hint="eastAsia" w:ascii="宋体" w:hAnsi="宋体"/>
                <w:bCs/>
                <w:sz w:val="24"/>
              </w:rPr>
              <w:t>0</w:t>
            </w:r>
          </w:p>
        </w:tc>
        <w:tc>
          <w:tcPr>
            <w:tcW w:w="1290" w:type="dxa"/>
            <w:vAlign w:val="center"/>
          </w:tcPr>
          <w:p>
            <w:pPr>
              <w:spacing w:line="460" w:lineRule="exact"/>
              <w:ind w:firstLine="480"/>
              <w:rPr>
                <w:rFonts w:ascii="宋体" w:hAnsi="宋体"/>
                <w:bCs/>
                <w:sz w:val="24"/>
              </w:rPr>
            </w:pPr>
            <w:r>
              <w:rPr>
                <w:rFonts w:hint="eastAsia" w:ascii="宋体" w:hAnsi="宋体"/>
                <w:bCs/>
                <w:sz w:val="24"/>
              </w:rPr>
              <w:t>1</w:t>
            </w:r>
          </w:p>
        </w:tc>
        <w:tc>
          <w:tcPr>
            <w:tcW w:w="1290" w:type="dxa"/>
            <w:vAlign w:val="center"/>
          </w:tcPr>
          <w:p>
            <w:pPr>
              <w:spacing w:line="460" w:lineRule="exact"/>
              <w:ind w:firstLine="480"/>
              <w:rPr>
                <w:rFonts w:ascii="宋体" w:hAnsi="宋体"/>
                <w:bCs/>
                <w:sz w:val="24"/>
              </w:rPr>
            </w:pPr>
            <w:r>
              <w:rPr>
                <w:rFonts w:hint="eastAsia" w:ascii="宋体" w:hAnsi="宋体"/>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Merge w:val="continue"/>
            <w:vAlign w:val="center"/>
          </w:tcPr>
          <w:p>
            <w:pPr>
              <w:spacing w:line="460" w:lineRule="exact"/>
              <w:ind w:firstLine="0" w:firstLineChars="0"/>
              <w:jc w:val="center"/>
              <w:rPr>
                <w:rFonts w:ascii="宋体" w:hAnsi="宋体"/>
                <w:bCs/>
                <w:sz w:val="24"/>
              </w:rPr>
            </w:pPr>
          </w:p>
        </w:tc>
        <w:tc>
          <w:tcPr>
            <w:tcW w:w="1289" w:type="dxa"/>
            <w:vAlign w:val="center"/>
          </w:tcPr>
          <w:p>
            <w:pPr>
              <w:spacing w:line="460" w:lineRule="exact"/>
              <w:ind w:firstLine="480"/>
              <w:rPr>
                <w:rFonts w:ascii="宋体" w:hAnsi="宋体"/>
                <w:bCs/>
                <w:sz w:val="24"/>
              </w:rPr>
            </w:pPr>
            <w:r>
              <w:rPr>
                <w:rFonts w:hint="eastAsia" w:ascii="宋体" w:hAnsi="宋体"/>
                <w:bCs/>
                <w:sz w:val="24"/>
              </w:rPr>
              <w:t>1</w:t>
            </w:r>
          </w:p>
        </w:tc>
        <w:tc>
          <w:tcPr>
            <w:tcW w:w="1290" w:type="dxa"/>
            <w:vAlign w:val="center"/>
          </w:tcPr>
          <w:p>
            <w:pPr>
              <w:spacing w:line="460" w:lineRule="exact"/>
              <w:ind w:firstLine="480"/>
              <w:rPr>
                <w:rFonts w:ascii="宋体" w:hAnsi="宋体"/>
                <w:bCs/>
                <w:sz w:val="24"/>
              </w:rPr>
            </w:pPr>
            <w:r>
              <w:rPr>
                <w:rFonts w:hint="eastAsia" w:ascii="宋体" w:hAnsi="宋体"/>
                <w:bCs/>
                <w:sz w:val="24"/>
              </w:rPr>
              <w:t>1</w:t>
            </w:r>
          </w:p>
        </w:tc>
        <w:tc>
          <w:tcPr>
            <w:tcW w:w="1289" w:type="dxa"/>
            <w:vAlign w:val="center"/>
          </w:tcPr>
          <w:p>
            <w:pPr>
              <w:spacing w:line="460" w:lineRule="exact"/>
              <w:ind w:firstLine="480"/>
              <w:rPr>
                <w:rFonts w:ascii="宋体" w:hAnsi="宋体"/>
                <w:bCs/>
                <w:sz w:val="24"/>
              </w:rPr>
            </w:pPr>
            <w:r>
              <w:rPr>
                <w:rFonts w:hint="eastAsia" w:ascii="宋体" w:hAnsi="宋体"/>
                <w:bCs/>
                <w:sz w:val="24"/>
              </w:rPr>
              <w:t>7</w:t>
            </w:r>
          </w:p>
        </w:tc>
        <w:tc>
          <w:tcPr>
            <w:tcW w:w="1290" w:type="dxa"/>
            <w:vAlign w:val="center"/>
          </w:tcPr>
          <w:p>
            <w:pPr>
              <w:spacing w:line="460" w:lineRule="exact"/>
              <w:ind w:firstLine="480"/>
              <w:rPr>
                <w:rFonts w:ascii="宋体" w:hAnsi="宋体"/>
                <w:bCs/>
                <w:sz w:val="24"/>
              </w:rPr>
            </w:pPr>
            <w:r>
              <w:rPr>
                <w:rFonts w:hint="eastAsia" w:ascii="宋体" w:hAnsi="宋体"/>
                <w:bCs/>
                <w:sz w:val="24"/>
              </w:rPr>
              <w:t>2</w:t>
            </w:r>
          </w:p>
        </w:tc>
        <w:tc>
          <w:tcPr>
            <w:tcW w:w="1290" w:type="dxa"/>
            <w:vAlign w:val="center"/>
          </w:tcPr>
          <w:p>
            <w:pPr>
              <w:spacing w:line="460" w:lineRule="exact"/>
              <w:ind w:firstLine="480"/>
              <w:rPr>
                <w:rFonts w:ascii="宋体" w:hAnsi="宋体"/>
                <w:bCs/>
                <w:sz w:val="24"/>
              </w:rPr>
            </w:pPr>
            <w:r>
              <w:rPr>
                <w:rFonts w:hint="eastAsia" w:ascii="宋体" w:hAnsi="宋体"/>
                <w:bCs/>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1" w:type="dxa"/>
            <w:vAlign w:val="center"/>
          </w:tcPr>
          <w:p>
            <w:pPr>
              <w:spacing w:line="460" w:lineRule="exact"/>
              <w:ind w:firstLine="0" w:firstLineChars="0"/>
              <w:jc w:val="center"/>
              <w:rPr>
                <w:rFonts w:ascii="宋体" w:hAnsi="宋体"/>
                <w:bCs/>
                <w:sz w:val="24"/>
              </w:rPr>
            </w:pPr>
            <w:r>
              <w:rPr>
                <w:rFonts w:hint="eastAsia" w:ascii="宋体" w:hAnsi="宋体"/>
                <w:bCs/>
                <w:sz w:val="24"/>
              </w:rPr>
              <w:t>咨询</w:t>
            </w:r>
          </w:p>
        </w:tc>
        <w:tc>
          <w:tcPr>
            <w:tcW w:w="1289" w:type="dxa"/>
            <w:vAlign w:val="center"/>
          </w:tcPr>
          <w:p>
            <w:pPr>
              <w:spacing w:line="460" w:lineRule="exact"/>
              <w:ind w:firstLine="480"/>
              <w:rPr>
                <w:rFonts w:ascii="宋体" w:hAnsi="宋体"/>
                <w:bCs/>
                <w:sz w:val="24"/>
              </w:rPr>
            </w:pPr>
            <w:r>
              <w:rPr>
                <w:rFonts w:hint="eastAsia" w:ascii="宋体" w:hAnsi="宋体"/>
                <w:bCs/>
                <w:sz w:val="24"/>
              </w:rPr>
              <w:t>20</w:t>
            </w:r>
          </w:p>
        </w:tc>
        <w:tc>
          <w:tcPr>
            <w:tcW w:w="1290" w:type="dxa"/>
            <w:vAlign w:val="center"/>
          </w:tcPr>
          <w:p>
            <w:pPr>
              <w:spacing w:line="460" w:lineRule="exact"/>
              <w:ind w:firstLine="480"/>
              <w:rPr>
                <w:rFonts w:ascii="宋体" w:hAnsi="宋体"/>
                <w:bCs/>
                <w:sz w:val="24"/>
              </w:rPr>
            </w:pPr>
            <w:r>
              <w:rPr>
                <w:rFonts w:hint="eastAsia" w:ascii="宋体" w:hAnsi="宋体"/>
                <w:bCs/>
                <w:sz w:val="24"/>
              </w:rPr>
              <w:t>17</w:t>
            </w:r>
          </w:p>
        </w:tc>
        <w:tc>
          <w:tcPr>
            <w:tcW w:w="1289" w:type="dxa"/>
            <w:vAlign w:val="center"/>
          </w:tcPr>
          <w:p>
            <w:pPr>
              <w:spacing w:line="460" w:lineRule="exact"/>
              <w:ind w:firstLine="480"/>
              <w:rPr>
                <w:rFonts w:ascii="宋体" w:hAnsi="宋体"/>
                <w:bCs/>
                <w:sz w:val="24"/>
              </w:rPr>
            </w:pPr>
            <w:r>
              <w:rPr>
                <w:rFonts w:hint="eastAsia" w:ascii="宋体" w:hAnsi="宋体"/>
                <w:bCs/>
                <w:sz w:val="24"/>
              </w:rPr>
              <w:t>15</w:t>
            </w:r>
          </w:p>
        </w:tc>
        <w:tc>
          <w:tcPr>
            <w:tcW w:w="1290" w:type="dxa"/>
            <w:vAlign w:val="center"/>
          </w:tcPr>
          <w:p>
            <w:pPr>
              <w:spacing w:line="460" w:lineRule="exact"/>
              <w:ind w:firstLine="480"/>
              <w:rPr>
                <w:rFonts w:ascii="宋体" w:hAnsi="宋体"/>
                <w:bCs/>
                <w:sz w:val="24"/>
              </w:rPr>
            </w:pPr>
            <w:r>
              <w:rPr>
                <w:rFonts w:hint="eastAsia" w:ascii="宋体" w:hAnsi="宋体"/>
                <w:bCs/>
                <w:sz w:val="24"/>
              </w:rPr>
              <w:t>35</w:t>
            </w:r>
          </w:p>
        </w:tc>
        <w:tc>
          <w:tcPr>
            <w:tcW w:w="1290" w:type="dxa"/>
            <w:vAlign w:val="center"/>
          </w:tcPr>
          <w:p>
            <w:pPr>
              <w:spacing w:line="460" w:lineRule="exact"/>
              <w:ind w:firstLine="480"/>
              <w:rPr>
                <w:rFonts w:ascii="宋体" w:hAnsi="宋体"/>
                <w:bCs/>
                <w:sz w:val="24"/>
              </w:rPr>
            </w:pPr>
            <w:r>
              <w:rPr>
                <w:rFonts w:hint="eastAsia" w:ascii="宋体" w:hAnsi="宋体"/>
                <w:bCs/>
                <w:sz w:val="24"/>
              </w:rPr>
              <w:t>26</w:t>
            </w:r>
          </w:p>
        </w:tc>
      </w:tr>
    </w:tbl>
    <w:p>
      <w:pPr>
        <w:ind w:firstLine="0" w:firstLineChars="0"/>
        <w:rPr>
          <w:b/>
        </w:rPr>
      </w:pPr>
    </w:p>
    <w:p>
      <w:pPr>
        <w:ind w:firstLine="0" w:firstLineChars="0"/>
        <w:rPr>
          <w:b/>
        </w:rPr>
      </w:pPr>
      <w:r>
        <w:rPr>
          <w:rFonts w:hint="eastAsia"/>
          <w:b/>
        </w:rPr>
        <w:t>（3）行业安全监管不断完善</w:t>
      </w:r>
    </w:p>
    <w:p>
      <w:pPr>
        <w:ind w:firstLine="560"/>
      </w:pPr>
      <w:r>
        <w:rPr>
          <w:rFonts w:hint="eastAsia"/>
        </w:rPr>
        <w:t>县道路运输管理局积极开展对客运企业、货运企业的调查摸底活动，并针对企业存在的薄弱环节、安全隐患等提出整改措施，主动帮助企业建立完善的各项管理制度和安全生产管理基础台帐；对客运企业、货运企业、驾驶员进行信用考核并开展继续教育工作，截至目前，云和县列入信用考核的客货运企业和驾驶员考核率均达</w:t>
      </w:r>
      <w:r>
        <w:t>100%</w:t>
      </w:r>
      <w:r>
        <w:rPr>
          <w:rFonts w:hint="eastAsia"/>
        </w:rPr>
        <w:t>。此外，通过对农村客运班线车辆安装视频监控进行补助，提高了农村客运车辆视频监控安装率，便于</w:t>
      </w:r>
    </w:p>
    <w:p>
      <w:pPr>
        <w:ind w:firstLine="0" w:firstLineChars="0"/>
      </w:pPr>
      <w:r>
        <w:rPr>
          <w:rFonts w:hint="eastAsia" w:ascii="宋体" w:hAnsi="宋体"/>
          <w:szCs w:val="28"/>
        </w:rPr>
        <w:t>企业对车辆运行实行动</w:t>
      </w:r>
      <w:r>
        <w:rPr>
          <w:rFonts w:hint="eastAsia"/>
        </w:rPr>
        <w:t>态管理，进而减少重大安全隐患，保障车辆运行安全。</w:t>
      </w:r>
    </w:p>
    <w:p>
      <w:pPr>
        <w:ind w:firstLine="0" w:firstLineChars="0"/>
      </w:pPr>
      <w:r>
        <w:rPr>
          <w:rFonts w:hint="eastAsia"/>
        </w:rPr>
        <w:t>道路运输管理部门全面贯彻落实“一岗双责</w:t>
      </w:r>
      <w:r>
        <w:t>”</w:t>
      </w:r>
      <w:r>
        <w:rPr>
          <w:rFonts w:hint="eastAsia"/>
        </w:rPr>
        <w:t>制度，认真履行“三把关、一监督”的安全监管职责，严把运输经营者市场准入关、营运车辆技术状况关、营运驾驶员从业资格关，做好汽车客运站安全监督，做好日常常规工作、节假日、特殊时段（中、高考，“开犁节”）等道路安全生产工作，尤其注重春节春运的道路安全。同时，积极开展“坚决遏制重特大事故隐患大排查”、“城市公交和道路客运隐患大排查”、“危险品运输行业隐患大排查”、“打非治违”和“六打六治”等专项行动。此外，县道路运输管理局定期开展</w:t>
      </w:r>
      <w:r>
        <w:t>“</w:t>
      </w:r>
      <w:r>
        <w:rPr>
          <w:rFonts w:hint="eastAsia"/>
        </w:rPr>
        <w:t>安全生产月</w:t>
      </w:r>
      <w:r>
        <w:t>”</w:t>
      </w:r>
      <w:r>
        <w:rPr>
          <w:rFonts w:hint="eastAsia"/>
        </w:rPr>
        <w:t>活动，以报纸、广播、电视、网络等媒介进行道路安全宣传，</w:t>
      </w:r>
      <w:r>
        <w:t>2014</w:t>
      </w:r>
      <w:r>
        <w:rPr>
          <w:rFonts w:hint="eastAsia"/>
        </w:rPr>
        <w:t>年，被丽水市委、市政府评为“2004-2013年度平安创建工作先进单位”。</w:t>
      </w:r>
    </w:p>
    <w:p>
      <w:pPr>
        <w:pStyle w:val="60"/>
      </w:pPr>
      <w:r>
        <w:rPr>
          <w:rFonts w:hint="eastAsia"/>
        </w:rPr>
        <w:t>表2-82011-2015年云和县安全检查基本情况</w:t>
      </w:r>
    </w:p>
    <w:tbl>
      <w:tblPr>
        <w:tblStyle w:val="5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51"/>
        <w:gridCol w:w="1762"/>
        <w:gridCol w:w="2003"/>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D8D8D8" w:themeFill="background1" w:themeFillShade="D9"/>
            <w:vAlign w:val="center"/>
          </w:tcPr>
          <w:p>
            <w:pPr>
              <w:spacing w:line="460" w:lineRule="exact"/>
              <w:ind w:firstLineChars="83"/>
              <w:rPr>
                <w:rFonts w:ascii="宋体" w:hAnsi="宋体"/>
                <w:b/>
                <w:sz w:val="24"/>
              </w:rPr>
            </w:pPr>
            <w:r>
              <w:rPr>
                <w:rFonts w:hint="eastAsia" w:ascii="宋体" w:hAnsi="宋体"/>
                <w:b/>
                <w:sz w:val="24"/>
              </w:rPr>
              <w:t>年度</w:t>
            </w:r>
          </w:p>
        </w:tc>
        <w:tc>
          <w:tcPr>
            <w:tcW w:w="1843" w:type="dxa"/>
            <w:shd w:val="clear" w:color="auto" w:fill="D8D8D8" w:themeFill="background1" w:themeFillShade="D9"/>
            <w:vAlign w:val="center"/>
          </w:tcPr>
          <w:p>
            <w:pPr>
              <w:spacing w:line="460" w:lineRule="exact"/>
              <w:ind w:firstLine="0" w:firstLineChars="0"/>
              <w:rPr>
                <w:rFonts w:ascii="宋体" w:hAnsi="宋体"/>
                <w:b/>
                <w:sz w:val="24"/>
              </w:rPr>
            </w:pPr>
            <w:r>
              <w:rPr>
                <w:rFonts w:hint="eastAsia" w:ascii="宋体" w:hAnsi="宋体"/>
                <w:b/>
                <w:sz w:val="24"/>
              </w:rPr>
              <w:t>安全检查次数</w:t>
            </w:r>
          </w:p>
        </w:tc>
        <w:tc>
          <w:tcPr>
            <w:tcW w:w="1843" w:type="dxa"/>
            <w:shd w:val="clear" w:color="auto" w:fill="D8D8D8" w:themeFill="background1" w:themeFillShade="D9"/>
            <w:vAlign w:val="center"/>
          </w:tcPr>
          <w:p>
            <w:pPr>
              <w:spacing w:line="460" w:lineRule="exact"/>
              <w:ind w:firstLine="0" w:firstLineChars="0"/>
              <w:rPr>
                <w:rFonts w:ascii="宋体" w:hAnsi="宋体"/>
                <w:b/>
                <w:sz w:val="24"/>
              </w:rPr>
            </w:pPr>
            <w:r>
              <w:rPr>
                <w:rFonts w:hint="eastAsia" w:ascii="宋体" w:hAnsi="宋体"/>
                <w:b/>
                <w:sz w:val="24"/>
              </w:rPr>
              <w:t>参加检查人次</w:t>
            </w:r>
          </w:p>
        </w:tc>
        <w:tc>
          <w:tcPr>
            <w:tcW w:w="2126" w:type="dxa"/>
            <w:shd w:val="clear" w:color="auto" w:fill="D8D8D8" w:themeFill="background1" w:themeFillShade="D9"/>
            <w:vAlign w:val="center"/>
          </w:tcPr>
          <w:p>
            <w:pPr>
              <w:spacing w:line="460" w:lineRule="exact"/>
              <w:ind w:firstLine="0" w:firstLineChars="0"/>
              <w:rPr>
                <w:rFonts w:ascii="宋体" w:hAnsi="宋体"/>
                <w:b/>
                <w:sz w:val="24"/>
              </w:rPr>
            </w:pPr>
            <w:r>
              <w:rPr>
                <w:rFonts w:hint="eastAsia" w:ascii="宋体" w:hAnsi="宋体"/>
                <w:b/>
                <w:sz w:val="24"/>
              </w:rPr>
              <w:t>纠正隐患（起）</w:t>
            </w:r>
          </w:p>
        </w:tc>
        <w:tc>
          <w:tcPr>
            <w:tcW w:w="2410" w:type="dxa"/>
            <w:shd w:val="clear" w:color="auto" w:fill="D8D8D8" w:themeFill="background1" w:themeFillShade="D9"/>
            <w:vAlign w:val="center"/>
          </w:tcPr>
          <w:p>
            <w:pPr>
              <w:spacing w:line="460" w:lineRule="exact"/>
              <w:ind w:firstLine="0" w:firstLineChars="0"/>
              <w:rPr>
                <w:rFonts w:ascii="宋体" w:hAnsi="宋体"/>
                <w:b/>
                <w:sz w:val="24"/>
              </w:rPr>
            </w:pPr>
            <w:r>
              <w:rPr>
                <w:rFonts w:hint="eastAsia" w:ascii="宋体" w:hAnsi="宋体"/>
                <w:b/>
                <w:sz w:val="24"/>
              </w:rPr>
              <w:t>督查通知书（份）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spacing w:line="240" w:lineRule="auto"/>
              <w:ind w:firstLine="0" w:firstLineChars="0"/>
              <w:rPr>
                <w:rFonts w:ascii="Calibri" w:hAnsi="Calibri"/>
                <w:kern w:val="2"/>
                <w:sz w:val="21"/>
                <w:szCs w:val="22"/>
              </w:rPr>
            </w:pPr>
            <w:r>
              <w:rPr>
                <w:rFonts w:hint="eastAsia" w:ascii="Calibri" w:hAnsi="Calibri"/>
                <w:kern w:val="2"/>
                <w:sz w:val="21"/>
                <w:szCs w:val="22"/>
              </w:rPr>
              <w:t>2011</w:t>
            </w:r>
          </w:p>
        </w:tc>
        <w:tc>
          <w:tcPr>
            <w:tcW w:w="1843"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31</w:t>
            </w:r>
          </w:p>
        </w:tc>
        <w:tc>
          <w:tcPr>
            <w:tcW w:w="1843" w:type="dxa"/>
            <w:vAlign w:val="center"/>
          </w:tcPr>
          <w:p>
            <w:pPr>
              <w:spacing w:line="240" w:lineRule="auto"/>
              <w:ind w:firstLine="560" w:firstLineChars="0"/>
              <w:rPr>
                <w:rFonts w:ascii="Calibri" w:hAnsi="Calibri"/>
                <w:color w:val="000000"/>
                <w:kern w:val="2"/>
                <w:sz w:val="21"/>
                <w:szCs w:val="22"/>
              </w:rPr>
            </w:pPr>
            <w:r>
              <w:rPr>
                <w:rFonts w:hint="eastAsia" w:ascii="Calibri" w:hAnsi="Calibri"/>
                <w:color w:val="000000"/>
                <w:kern w:val="2"/>
                <w:sz w:val="21"/>
                <w:szCs w:val="22"/>
              </w:rPr>
              <w:t>113</w:t>
            </w:r>
          </w:p>
        </w:tc>
        <w:tc>
          <w:tcPr>
            <w:tcW w:w="2126"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16</w:t>
            </w:r>
          </w:p>
        </w:tc>
        <w:tc>
          <w:tcPr>
            <w:tcW w:w="2410"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spacing w:line="240" w:lineRule="auto"/>
              <w:ind w:firstLine="0" w:firstLineChars="0"/>
              <w:rPr>
                <w:rFonts w:ascii="Calibri" w:hAnsi="Calibri"/>
                <w:kern w:val="2"/>
                <w:sz w:val="21"/>
                <w:szCs w:val="22"/>
              </w:rPr>
            </w:pPr>
            <w:r>
              <w:rPr>
                <w:rFonts w:hint="eastAsia" w:ascii="Calibri" w:hAnsi="Calibri"/>
                <w:kern w:val="2"/>
                <w:sz w:val="21"/>
                <w:szCs w:val="22"/>
              </w:rPr>
              <w:t>2012</w:t>
            </w:r>
          </w:p>
        </w:tc>
        <w:tc>
          <w:tcPr>
            <w:tcW w:w="1843"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45</w:t>
            </w:r>
          </w:p>
        </w:tc>
        <w:tc>
          <w:tcPr>
            <w:tcW w:w="1843" w:type="dxa"/>
            <w:vAlign w:val="center"/>
          </w:tcPr>
          <w:p>
            <w:pPr>
              <w:spacing w:line="240" w:lineRule="auto"/>
              <w:ind w:firstLine="560" w:firstLineChars="0"/>
              <w:rPr>
                <w:rFonts w:ascii="Calibri" w:hAnsi="Calibri"/>
                <w:color w:val="000000"/>
                <w:kern w:val="2"/>
                <w:sz w:val="21"/>
                <w:szCs w:val="22"/>
              </w:rPr>
            </w:pPr>
            <w:r>
              <w:rPr>
                <w:rFonts w:hint="eastAsia" w:ascii="Calibri" w:hAnsi="Calibri"/>
                <w:color w:val="000000"/>
                <w:kern w:val="2"/>
                <w:sz w:val="21"/>
                <w:szCs w:val="22"/>
              </w:rPr>
              <w:t>155</w:t>
            </w:r>
          </w:p>
        </w:tc>
        <w:tc>
          <w:tcPr>
            <w:tcW w:w="2126"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23</w:t>
            </w:r>
          </w:p>
        </w:tc>
        <w:tc>
          <w:tcPr>
            <w:tcW w:w="2410"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vAlign w:val="center"/>
          </w:tcPr>
          <w:p>
            <w:pPr>
              <w:spacing w:line="240" w:lineRule="auto"/>
              <w:ind w:firstLine="0" w:firstLineChars="0"/>
              <w:rPr>
                <w:rFonts w:ascii="Calibri" w:hAnsi="Calibri"/>
                <w:kern w:val="2"/>
                <w:sz w:val="21"/>
                <w:szCs w:val="22"/>
              </w:rPr>
            </w:pPr>
            <w:r>
              <w:rPr>
                <w:rFonts w:hint="eastAsia" w:ascii="Calibri" w:hAnsi="Calibri"/>
                <w:kern w:val="2"/>
                <w:sz w:val="21"/>
                <w:szCs w:val="22"/>
              </w:rPr>
              <w:t>2013</w:t>
            </w:r>
          </w:p>
        </w:tc>
        <w:tc>
          <w:tcPr>
            <w:tcW w:w="1843"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46</w:t>
            </w:r>
          </w:p>
        </w:tc>
        <w:tc>
          <w:tcPr>
            <w:tcW w:w="1843" w:type="dxa"/>
            <w:vAlign w:val="center"/>
          </w:tcPr>
          <w:p>
            <w:pPr>
              <w:spacing w:line="240" w:lineRule="auto"/>
              <w:ind w:firstLine="560" w:firstLineChars="0"/>
              <w:rPr>
                <w:rFonts w:ascii="Calibri" w:hAnsi="Calibri"/>
                <w:color w:val="000000"/>
                <w:kern w:val="2"/>
                <w:sz w:val="21"/>
                <w:szCs w:val="22"/>
              </w:rPr>
            </w:pPr>
            <w:r>
              <w:rPr>
                <w:rFonts w:hint="eastAsia" w:ascii="Calibri" w:hAnsi="Calibri"/>
                <w:color w:val="000000"/>
                <w:kern w:val="2"/>
                <w:sz w:val="21"/>
                <w:szCs w:val="22"/>
              </w:rPr>
              <w:t>150</w:t>
            </w:r>
          </w:p>
        </w:tc>
        <w:tc>
          <w:tcPr>
            <w:tcW w:w="2126"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35</w:t>
            </w:r>
          </w:p>
        </w:tc>
        <w:tc>
          <w:tcPr>
            <w:tcW w:w="2410"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spacing w:line="240" w:lineRule="auto"/>
              <w:ind w:firstLine="0" w:firstLineChars="0"/>
              <w:rPr>
                <w:rFonts w:ascii="Calibri" w:hAnsi="Calibri"/>
                <w:kern w:val="2"/>
                <w:sz w:val="21"/>
                <w:szCs w:val="22"/>
              </w:rPr>
            </w:pPr>
            <w:r>
              <w:rPr>
                <w:rFonts w:hint="eastAsia" w:ascii="Calibri" w:hAnsi="Calibri"/>
                <w:kern w:val="2"/>
                <w:sz w:val="21"/>
                <w:szCs w:val="22"/>
              </w:rPr>
              <w:t>2014</w:t>
            </w:r>
          </w:p>
        </w:tc>
        <w:tc>
          <w:tcPr>
            <w:tcW w:w="1843"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52</w:t>
            </w:r>
          </w:p>
        </w:tc>
        <w:tc>
          <w:tcPr>
            <w:tcW w:w="1843" w:type="dxa"/>
            <w:vAlign w:val="center"/>
          </w:tcPr>
          <w:p>
            <w:pPr>
              <w:spacing w:line="240" w:lineRule="auto"/>
              <w:ind w:firstLine="560" w:firstLineChars="0"/>
              <w:rPr>
                <w:rFonts w:ascii="Calibri" w:hAnsi="Calibri"/>
                <w:color w:val="000000"/>
                <w:kern w:val="2"/>
                <w:sz w:val="21"/>
                <w:szCs w:val="22"/>
              </w:rPr>
            </w:pPr>
            <w:r>
              <w:rPr>
                <w:rFonts w:hint="eastAsia" w:ascii="Calibri" w:hAnsi="Calibri"/>
                <w:color w:val="000000"/>
                <w:kern w:val="2"/>
                <w:sz w:val="21"/>
                <w:szCs w:val="22"/>
              </w:rPr>
              <w:t>151</w:t>
            </w:r>
          </w:p>
        </w:tc>
        <w:tc>
          <w:tcPr>
            <w:tcW w:w="2126"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36</w:t>
            </w:r>
          </w:p>
        </w:tc>
        <w:tc>
          <w:tcPr>
            <w:tcW w:w="2410"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spacing w:line="240" w:lineRule="auto"/>
              <w:ind w:firstLine="0" w:firstLineChars="0"/>
              <w:rPr>
                <w:rFonts w:ascii="Calibri" w:hAnsi="Calibri"/>
                <w:kern w:val="2"/>
                <w:sz w:val="21"/>
                <w:szCs w:val="22"/>
              </w:rPr>
            </w:pPr>
            <w:r>
              <w:rPr>
                <w:rFonts w:hint="eastAsia" w:ascii="Calibri" w:hAnsi="Calibri"/>
                <w:kern w:val="2"/>
                <w:sz w:val="21"/>
                <w:szCs w:val="22"/>
              </w:rPr>
              <w:t>2015</w:t>
            </w:r>
          </w:p>
        </w:tc>
        <w:tc>
          <w:tcPr>
            <w:tcW w:w="1843"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64</w:t>
            </w:r>
          </w:p>
        </w:tc>
        <w:tc>
          <w:tcPr>
            <w:tcW w:w="1843" w:type="dxa"/>
            <w:vAlign w:val="center"/>
          </w:tcPr>
          <w:p>
            <w:pPr>
              <w:spacing w:line="240" w:lineRule="auto"/>
              <w:ind w:firstLine="560" w:firstLineChars="0"/>
              <w:rPr>
                <w:rFonts w:ascii="Calibri" w:hAnsi="Calibri"/>
                <w:color w:val="000000"/>
                <w:kern w:val="2"/>
                <w:sz w:val="21"/>
                <w:szCs w:val="22"/>
              </w:rPr>
            </w:pPr>
            <w:r>
              <w:rPr>
                <w:rFonts w:hint="eastAsia" w:ascii="Calibri" w:hAnsi="Calibri"/>
                <w:color w:val="000000"/>
                <w:kern w:val="2"/>
                <w:sz w:val="21"/>
                <w:szCs w:val="22"/>
              </w:rPr>
              <w:t>247</w:t>
            </w:r>
          </w:p>
        </w:tc>
        <w:tc>
          <w:tcPr>
            <w:tcW w:w="2126"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48</w:t>
            </w:r>
          </w:p>
        </w:tc>
        <w:tc>
          <w:tcPr>
            <w:tcW w:w="2410" w:type="dxa"/>
            <w:vAlign w:val="center"/>
          </w:tcPr>
          <w:p>
            <w:pPr>
              <w:spacing w:line="240" w:lineRule="auto"/>
              <w:ind w:firstLine="560" w:firstLineChars="0"/>
              <w:rPr>
                <w:rFonts w:ascii="Calibri" w:hAnsi="Calibri"/>
                <w:kern w:val="2"/>
                <w:sz w:val="21"/>
                <w:szCs w:val="22"/>
              </w:rPr>
            </w:pPr>
            <w:r>
              <w:rPr>
                <w:rFonts w:hint="eastAsia" w:ascii="Calibri" w:hAnsi="Calibri"/>
                <w:kern w:val="2"/>
                <w:sz w:val="21"/>
                <w:szCs w:val="22"/>
              </w:rPr>
              <w:t>4</w:t>
            </w:r>
          </w:p>
        </w:tc>
      </w:tr>
    </w:tbl>
    <w:p>
      <w:pPr>
        <w:ind w:firstLine="560"/>
      </w:pPr>
      <w:r>
        <w:rPr>
          <w:rFonts w:hint="eastAsia"/>
        </w:rPr>
        <w:t>目前，云和县共有两家驾校，分别是安泰驾校和处州驾校。2011年驾校开办初期，面临许多问题，在多方努力协调下帮助驾校解决了用地问题。2013年通过招商引资，全县新增一家驾校。相关管理部门加强对教学训练场地的突击检查、道路教学的动态监管和驾驶员培训结业的相关审核，并督促驾校建立健全各项规章制度，完善学员、教练员、教练车等各项档案</w:t>
      </w:r>
      <w:r>
        <w:rPr>
          <w:rFonts w:hint="eastAsia"/>
          <w:lang w:eastAsia="zh-CN"/>
        </w:rPr>
        <w:t>台账</w:t>
      </w:r>
      <w:r>
        <w:rPr>
          <w:rFonts w:hint="eastAsia"/>
        </w:rPr>
        <w:t>，落实好学驾合同签订工作，引导驾校管理制度化、规范化，督促两家驾校签订了丽水指纹</w:t>
      </w:r>
      <w:r>
        <w:t>IC</w:t>
      </w:r>
      <w:r>
        <w:rPr>
          <w:rFonts w:hint="eastAsia"/>
        </w:rPr>
        <w:t>卡驾培学时管理系统项目运行服务合同书，并完成了计时设备的安装。</w:t>
      </w:r>
    </w:p>
    <w:p>
      <w:pPr>
        <w:ind w:firstLine="0" w:firstLineChars="0"/>
      </w:pPr>
      <w:r>
        <w:rPr>
          <w:rFonts w:hint="eastAsia"/>
          <w:b/>
        </w:rPr>
        <w:t>（</w:t>
      </w:r>
      <w:r>
        <w:rPr>
          <w:b/>
        </w:rPr>
        <w:t>4</w:t>
      </w:r>
      <w:r>
        <w:rPr>
          <w:rFonts w:hint="eastAsia"/>
          <w:b/>
        </w:rPr>
        <w:t>）绿色低碳取得一定成效</w:t>
      </w:r>
    </w:p>
    <w:p>
      <w:pPr>
        <w:ind w:firstLine="560"/>
      </w:pPr>
      <w:r>
        <w:t>“</w:t>
      </w:r>
      <w:r>
        <w:rPr>
          <w:rFonts w:hint="eastAsia"/>
        </w:rPr>
        <w:t>十二五</w:t>
      </w:r>
      <w:r>
        <w:t>”</w:t>
      </w:r>
      <w:r>
        <w:rPr>
          <w:rFonts w:hint="eastAsia"/>
        </w:rPr>
        <w:t>期间，云和县道路运输绿色低碳工作中，除了加大节能降耗宣传的同时，不断加强行业节能减排管理工作，严把行政许可关，从源头上杜绝高效能车辆进入道路运输市场；督促驾校按规定使用驾培模拟器；要求各维修企业认真落实好“五废”回收、“两废”排放工作。</w:t>
      </w:r>
      <w:r>
        <w:t>2012-201</w:t>
      </w:r>
      <w:r>
        <w:rPr>
          <w:rFonts w:hint="eastAsia"/>
        </w:rPr>
        <w:t>5年，维修企业累计回收废机油106869升，废电池3243只，废轮胎10704只，废配件324.7吨，废包装70.3吨，废水排放1670.2吨，废气排放3.92吨。从表2-9中可以看出，2012-2015年云和维修企业“低碳”维修工作取得了显著成效。此外，“十二五”期间，云和县共淘汰黄标车138辆。</w:t>
      </w:r>
    </w:p>
    <w:p>
      <w:pPr>
        <w:pStyle w:val="60"/>
      </w:pPr>
      <w:r>
        <w:rPr>
          <w:rFonts w:hint="eastAsia"/>
        </w:rPr>
        <w:t>表</w:t>
      </w:r>
      <w:r>
        <w:t>2-</w:t>
      </w:r>
      <w:r>
        <w:rPr>
          <w:rFonts w:hint="eastAsia"/>
        </w:rPr>
        <w:t>9</w:t>
      </w:r>
      <w:r>
        <w:t>2012-201</w:t>
      </w:r>
      <w:r>
        <w:rPr>
          <w:rFonts w:hint="eastAsia"/>
        </w:rPr>
        <w:t>5年云和县维修企业“五废”回收、“两废”排放工作情况</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5"/>
        <w:gridCol w:w="1064"/>
        <w:gridCol w:w="1065"/>
        <w:gridCol w:w="1064"/>
        <w:gridCol w:w="1065"/>
        <w:gridCol w:w="106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shd w:val="clear" w:color="auto" w:fill="D8D8D8" w:themeFill="background1" w:themeFillShade="D9"/>
            <w:vAlign w:val="center"/>
          </w:tcPr>
          <w:p>
            <w:pPr>
              <w:pStyle w:val="41"/>
              <w:rPr>
                <w:b/>
                <w:bCs/>
              </w:rPr>
            </w:pPr>
            <w:r>
              <w:rPr>
                <w:rFonts w:hint="eastAsia"/>
                <w:b/>
                <w:bCs/>
              </w:rPr>
              <w:t>年份</w:t>
            </w:r>
          </w:p>
        </w:tc>
        <w:tc>
          <w:tcPr>
            <w:tcW w:w="1065" w:type="dxa"/>
            <w:shd w:val="clear" w:color="auto" w:fill="D8D8D8" w:themeFill="background1" w:themeFillShade="D9"/>
            <w:vAlign w:val="center"/>
          </w:tcPr>
          <w:p>
            <w:pPr>
              <w:pStyle w:val="41"/>
              <w:rPr>
                <w:b/>
                <w:bCs/>
              </w:rPr>
            </w:pPr>
            <w:r>
              <w:rPr>
                <w:rFonts w:hint="eastAsia"/>
                <w:b/>
                <w:bCs/>
              </w:rPr>
              <w:t>废机油（升）</w:t>
            </w:r>
          </w:p>
        </w:tc>
        <w:tc>
          <w:tcPr>
            <w:tcW w:w="1064" w:type="dxa"/>
            <w:shd w:val="clear" w:color="auto" w:fill="D8D8D8" w:themeFill="background1" w:themeFillShade="D9"/>
            <w:vAlign w:val="center"/>
          </w:tcPr>
          <w:p>
            <w:pPr>
              <w:pStyle w:val="41"/>
              <w:rPr>
                <w:b/>
                <w:bCs/>
              </w:rPr>
            </w:pPr>
            <w:r>
              <w:rPr>
                <w:rFonts w:hint="eastAsia"/>
                <w:b/>
                <w:bCs/>
              </w:rPr>
              <w:t>废电池（只）</w:t>
            </w:r>
          </w:p>
        </w:tc>
        <w:tc>
          <w:tcPr>
            <w:tcW w:w="1065" w:type="dxa"/>
            <w:shd w:val="clear" w:color="auto" w:fill="D8D8D8" w:themeFill="background1" w:themeFillShade="D9"/>
            <w:vAlign w:val="center"/>
          </w:tcPr>
          <w:p>
            <w:pPr>
              <w:pStyle w:val="41"/>
              <w:rPr>
                <w:b/>
                <w:bCs/>
              </w:rPr>
            </w:pPr>
            <w:r>
              <w:rPr>
                <w:rFonts w:hint="eastAsia"/>
                <w:b/>
                <w:bCs/>
              </w:rPr>
              <w:t>废轮胎（只）</w:t>
            </w:r>
          </w:p>
        </w:tc>
        <w:tc>
          <w:tcPr>
            <w:tcW w:w="1064" w:type="dxa"/>
            <w:shd w:val="clear" w:color="auto" w:fill="D8D8D8" w:themeFill="background1" w:themeFillShade="D9"/>
            <w:vAlign w:val="center"/>
          </w:tcPr>
          <w:p>
            <w:pPr>
              <w:pStyle w:val="41"/>
              <w:rPr>
                <w:b/>
                <w:bCs/>
              </w:rPr>
            </w:pPr>
            <w:r>
              <w:rPr>
                <w:rFonts w:hint="eastAsia"/>
                <w:b/>
                <w:bCs/>
              </w:rPr>
              <w:t>废配件（吨）</w:t>
            </w:r>
          </w:p>
        </w:tc>
        <w:tc>
          <w:tcPr>
            <w:tcW w:w="1065" w:type="dxa"/>
            <w:shd w:val="clear" w:color="auto" w:fill="D8D8D8" w:themeFill="background1" w:themeFillShade="D9"/>
            <w:vAlign w:val="center"/>
          </w:tcPr>
          <w:p>
            <w:pPr>
              <w:pStyle w:val="41"/>
              <w:rPr>
                <w:b/>
                <w:bCs/>
              </w:rPr>
            </w:pPr>
            <w:r>
              <w:rPr>
                <w:rFonts w:hint="eastAsia"/>
                <w:b/>
                <w:bCs/>
              </w:rPr>
              <w:t>废包装（吨）</w:t>
            </w:r>
          </w:p>
        </w:tc>
        <w:tc>
          <w:tcPr>
            <w:tcW w:w="1064" w:type="dxa"/>
            <w:shd w:val="clear" w:color="auto" w:fill="D8D8D8" w:themeFill="background1" w:themeFillShade="D9"/>
            <w:vAlign w:val="center"/>
          </w:tcPr>
          <w:p>
            <w:pPr>
              <w:pStyle w:val="41"/>
              <w:rPr>
                <w:b/>
                <w:bCs/>
              </w:rPr>
            </w:pPr>
            <w:r>
              <w:rPr>
                <w:rFonts w:hint="eastAsia"/>
                <w:b/>
                <w:bCs/>
              </w:rPr>
              <w:t>废水排放（吨）</w:t>
            </w:r>
          </w:p>
        </w:tc>
        <w:tc>
          <w:tcPr>
            <w:tcW w:w="1065" w:type="dxa"/>
            <w:shd w:val="clear" w:color="auto" w:fill="D8D8D8" w:themeFill="background1" w:themeFillShade="D9"/>
            <w:vAlign w:val="center"/>
          </w:tcPr>
          <w:p>
            <w:pPr>
              <w:pStyle w:val="41"/>
              <w:rPr>
                <w:b/>
                <w:bCs/>
              </w:rPr>
            </w:pPr>
            <w:r>
              <w:rPr>
                <w:rFonts w:hint="eastAsia"/>
                <w:b/>
                <w:bCs/>
              </w:rPr>
              <w:t>废气排放（吨）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Pr>
          <w:p>
            <w:pPr>
              <w:pStyle w:val="41"/>
              <w:rPr>
                <w:bCs/>
              </w:rPr>
            </w:pPr>
            <w:r>
              <w:rPr>
                <w:bCs/>
              </w:rPr>
              <w:t>2012</w:t>
            </w:r>
            <w:r>
              <w:rPr>
                <w:rFonts w:hint="eastAsia"/>
                <w:bCs/>
              </w:rPr>
              <w:t>年</w:t>
            </w:r>
          </w:p>
        </w:tc>
        <w:tc>
          <w:tcPr>
            <w:tcW w:w="1065" w:type="dxa"/>
          </w:tcPr>
          <w:p>
            <w:pPr>
              <w:pStyle w:val="41"/>
              <w:rPr>
                <w:bCs/>
              </w:rPr>
            </w:pPr>
            <w:r>
              <w:rPr>
                <w:bCs/>
              </w:rPr>
              <w:t>36172</w:t>
            </w:r>
          </w:p>
        </w:tc>
        <w:tc>
          <w:tcPr>
            <w:tcW w:w="1064" w:type="dxa"/>
          </w:tcPr>
          <w:p>
            <w:pPr>
              <w:pStyle w:val="41"/>
              <w:rPr>
                <w:bCs/>
              </w:rPr>
            </w:pPr>
            <w:r>
              <w:rPr>
                <w:bCs/>
              </w:rPr>
              <w:t>1055</w:t>
            </w:r>
          </w:p>
        </w:tc>
        <w:tc>
          <w:tcPr>
            <w:tcW w:w="1065" w:type="dxa"/>
          </w:tcPr>
          <w:p>
            <w:pPr>
              <w:pStyle w:val="41"/>
              <w:rPr>
                <w:bCs/>
              </w:rPr>
            </w:pPr>
            <w:r>
              <w:rPr>
                <w:bCs/>
              </w:rPr>
              <w:t>4092</w:t>
            </w:r>
          </w:p>
        </w:tc>
        <w:tc>
          <w:tcPr>
            <w:tcW w:w="1064" w:type="dxa"/>
          </w:tcPr>
          <w:p>
            <w:pPr>
              <w:pStyle w:val="41"/>
              <w:rPr>
                <w:bCs/>
              </w:rPr>
            </w:pPr>
            <w:r>
              <w:rPr>
                <w:bCs/>
              </w:rPr>
              <w:t>132.5</w:t>
            </w:r>
          </w:p>
        </w:tc>
        <w:tc>
          <w:tcPr>
            <w:tcW w:w="1065" w:type="dxa"/>
          </w:tcPr>
          <w:p>
            <w:pPr>
              <w:pStyle w:val="41"/>
              <w:rPr>
                <w:bCs/>
              </w:rPr>
            </w:pPr>
            <w:r>
              <w:rPr>
                <w:bCs/>
              </w:rPr>
              <w:t>29.7</w:t>
            </w:r>
          </w:p>
        </w:tc>
        <w:tc>
          <w:tcPr>
            <w:tcW w:w="1064" w:type="dxa"/>
          </w:tcPr>
          <w:p>
            <w:pPr>
              <w:pStyle w:val="41"/>
              <w:rPr>
                <w:bCs/>
              </w:rPr>
            </w:pPr>
            <w:r>
              <w:rPr>
                <w:bCs/>
              </w:rPr>
              <w:t>807</w:t>
            </w:r>
          </w:p>
        </w:tc>
        <w:tc>
          <w:tcPr>
            <w:tcW w:w="1065" w:type="dxa"/>
          </w:tcPr>
          <w:p>
            <w:pPr>
              <w:pStyle w:val="41"/>
              <w:rPr>
                <w:bCs/>
              </w:rPr>
            </w:pPr>
            <w:r>
              <w:rPr>
                <w:bCs/>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Pr>
          <w:p>
            <w:pPr>
              <w:pStyle w:val="41"/>
              <w:rPr>
                <w:bCs/>
              </w:rPr>
            </w:pPr>
            <w:r>
              <w:rPr>
                <w:bCs/>
              </w:rPr>
              <w:t>2013</w:t>
            </w:r>
            <w:r>
              <w:rPr>
                <w:rFonts w:hint="eastAsia"/>
                <w:bCs/>
              </w:rPr>
              <w:t>年</w:t>
            </w:r>
          </w:p>
        </w:tc>
        <w:tc>
          <w:tcPr>
            <w:tcW w:w="1065" w:type="dxa"/>
          </w:tcPr>
          <w:p>
            <w:pPr>
              <w:pStyle w:val="41"/>
              <w:rPr>
                <w:bCs/>
              </w:rPr>
            </w:pPr>
            <w:r>
              <w:rPr>
                <w:bCs/>
              </w:rPr>
              <w:t>27654</w:t>
            </w:r>
          </w:p>
        </w:tc>
        <w:tc>
          <w:tcPr>
            <w:tcW w:w="1064" w:type="dxa"/>
          </w:tcPr>
          <w:p>
            <w:pPr>
              <w:pStyle w:val="41"/>
              <w:rPr>
                <w:bCs/>
              </w:rPr>
            </w:pPr>
            <w:r>
              <w:rPr>
                <w:bCs/>
              </w:rPr>
              <w:t>1243</w:t>
            </w:r>
          </w:p>
        </w:tc>
        <w:tc>
          <w:tcPr>
            <w:tcW w:w="1065" w:type="dxa"/>
          </w:tcPr>
          <w:p>
            <w:pPr>
              <w:pStyle w:val="41"/>
              <w:rPr>
                <w:bCs/>
              </w:rPr>
            </w:pPr>
            <w:r>
              <w:rPr>
                <w:bCs/>
              </w:rPr>
              <w:t>3547</w:t>
            </w:r>
          </w:p>
        </w:tc>
        <w:tc>
          <w:tcPr>
            <w:tcW w:w="1064" w:type="dxa"/>
          </w:tcPr>
          <w:p>
            <w:pPr>
              <w:pStyle w:val="41"/>
              <w:rPr>
                <w:bCs/>
              </w:rPr>
            </w:pPr>
            <w:r>
              <w:rPr>
                <w:bCs/>
              </w:rPr>
              <w:t>101</w:t>
            </w:r>
          </w:p>
        </w:tc>
        <w:tc>
          <w:tcPr>
            <w:tcW w:w="1065" w:type="dxa"/>
          </w:tcPr>
          <w:p>
            <w:pPr>
              <w:pStyle w:val="41"/>
              <w:rPr>
                <w:bCs/>
              </w:rPr>
            </w:pPr>
            <w:r>
              <w:rPr>
                <w:bCs/>
              </w:rPr>
              <w:t>24</w:t>
            </w:r>
          </w:p>
        </w:tc>
        <w:tc>
          <w:tcPr>
            <w:tcW w:w="1064" w:type="dxa"/>
          </w:tcPr>
          <w:p>
            <w:pPr>
              <w:pStyle w:val="41"/>
              <w:rPr>
                <w:bCs/>
              </w:rPr>
            </w:pPr>
            <w:r>
              <w:rPr>
                <w:bCs/>
              </w:rPr>
              <w:t>705</w:t>
            </w:r>
          </w:p>
        </w:tc>
        <w:tc>
          <w:tcPr>
            <w:tcW w:w="1065" w:type="dxa"/>
          </w:tcPr>
          <w:p>
            <w:pPr>
              <w:pStyle w:val="41"/>
              <w:rPr>
                <w:bCs/>
              </w:rPr>
            </w:pPr>
            <w:r>
              <w:rPr>
                <w:bCs/>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4" w:type="dxa"/>
          </w:tcPr>
          <w:p>
            <w:pPr>
              <w:pStyle w:val="41"/>
              <w:rPr>
                <w:bCs/>
              </w:rPr>
            </w:pPr>
            <w:r>
              <w:rPr>
                <w:bCs/>
              </w:rPr>
              <w:t>2014</w:t>
            </w:r>
            <w:r>
              <w:rPr>
                <w:rFonts w:hint="eastAsia"/>
                <w:bCs/>
              </w:rPr>
              <w:t>年</w:t>
            </w:r>
          </w:p>
        </w:tc>
        <w:tc>
          <w:tcPr>
            <w:tcW w:w="1065" w:type="dxa"/>
          </w:tcPr>
          <w:p>
            <w:pPr>
              <w:pStyle w:val="41"/>
              <w:rPr>
                <w:bCs/>
              </w:rPr>
            </w:pPr>
            <w:r>
              <w:rPr>
                <w:bCs/>
              </w:rPr>
              <w:t>18094</w:t>
            </w:r>
          </w:p>
        </w:tc>
        <w:tc>
          <w:tcPr>
            <w:tcW w:w="1064" w:type="dxa"/>
          </w:tcPr>
          <w:p>
            <w:pPr>
              <w:pStyle w:val="41"/>
              <w:rPr>
                <w:bCs/>
              </w:rPr>
            </w:pPr>
            <w:r>
              <w:rPr>
                <w:bCs/>
              </w:rPr>
              <w:t>453</w:t>
            </w:r>
          </w:p>
        </w:tc>
        <w:tc>
          <w:tcPr>
            <w:tcW w:w="1065" w:type="dxa"/>
          </w:tcPr>
          <w:p>
            <w:pPr>
              <w:pStyle w:val="41"/>
              <w:rPr>
                <w:bCs/>
              </w:rPr>
            </w:pPr>
            <w:r>
              <w:rPr>
                <w:bCs/>
              </w:rPr>
              <w:t>1626</w:t>
            </w:r>
          </w:p>
        </w:tc>
        <w:tc>
          <w:tcPr>
            <w:tcW w:w="1064" w:type="dxa"/>
          </w:tcPr>
          <w:p>
            <w:pPr>
              <w:pStyle w:val="41"/>
              <w:rPr>
                <w:bCs/>
              </w:rPr>
            </w:pPr>
            <w:r>
              <w:rPr>
                <w:bCs/>
              </w:rPr>
              <w:t>61.8</w:t>
            </w:r>
          </w:p>
        </w:tc>
        <w:tc>
          <w:tcPr>
            <w:tcW w:w="1065" w:type="dxa"/>
          </w:tcPr>
          <w:p>
            <w:pPr>
              <w:pStyle w:val="41"/>
              <w:rPr>
                <w:bCs/>
              </w:rPr>
            </w:pPr>
            <w:r>
              <w:rPr>
                <w:bCs/>
              </w:rPr>
              <w:t>9.2</w:t>
            </w:r>
          </w:p>
        </w:tc>
        <w:tc>
          <w:tcPr>
            <w:tcW w:w="1064" w:type="dxa"/>
          </w:tcPr>
          <w:p>
            <w:pPr>
              <w:pStyle w:val="41"/>
              <w:rPr>
                <w:bCs/>
              </w:rPr>
            </w:pPr>
            <w:r>
              <w:rPr>
                <w:bCs/>
              </w:rPr>
              <w:t>77.2</w:t>
            </w:r>
          </w:p>
        </w:tc>
        <w:tc>
          <w:tcPr>
            <w:tcW w:w="1065" w:type="dxa"/>
          </w:tcPr>
          <w:p>
            <w:pPr>
              <w:pStyle w:val="41"/>
              <w:rPr>
                <w:bCs/>
              </w:rPr>
            </w:pPr>
            <w:r>
              <w:rPr>
                <w:bC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Pr>
          <w:p>
            <w:pPr>
              <w:pStyle w:val="41"/>
              <w:rPr>
                <w:bCs/>
              </w:rPr>
            </w:pPr>
            <w:r>
              <w:rPr>
                <w:rFonts w:hint="eastAsia"/>
                <w:bCs/>
              </w:rPr>
              <w:t>2015年</w:t>
            </w:r>
          </w:p>
        </w:tc>
        <w:tc>
          <w:tcPr>
            <w:tcW w:w="1065" w:type="dxa"/>
          </w:tcPr>
          <w:p>
            <w:pPr>
              <w:pStyle w:val="41"/>
              <w:rPr>
                <w:bCs/>
                <w:color w:val="000000"/>
                <w:szCs w:val="21"/>
              </w:rPr>
            </w:pPr>
            <w:r>
              <w:rPr>
                <w:color w:val="000000"/>
                <w:szCs w:val="21"/>
              </w:rPr>
              <w:t>24949</w:t>
            </w:r>
          </w:p>
        </w:tc>
        <w:tc>
          <w:tcPr>
            <w:tcW w:w="1064" w:type="dxa"/>
          </w:tcPr>
          <w:p>
            <w:pPr>
              <w:pStyle w:val="41"/>
              <w:rPr>
                <w:bCs/>
                <w:color w:val="000000"/>
                <w:szCs w:val="21"/>
              </w:rPr>
            </w:pPr>
            <w:r>
              <w:rPr>
                <w:rFonts w:hint="eastAsia"/>
                <w:bCs/>
                <w:color w:val="000000"/>
                <w:szCs w:val="21"/>
              </w:rPr>
              <w:t>492</w:t>
            </w:r>
          </w:p>
        </w:tc>
        <w:tc>
          <w:tcPr>
            <w:tcW w:w="1065" w:type="dxa"/>
          </w:tcPr>
          <w:p>
            <w:pPr>
              <w:pStyle w:val="41"/>
              <w:rPr>
                <w:bCs/>
                <w:color w:val="000000"/>
                <w:szCs w:val="21"/>
              </w:rPr>
            </w:pPr>
            <w:r>
              <w:rPr>
                <w:rFonts w:hint="eastAsia"/>
                <w:bCs/>
                <w:color w:val="000000"/>
                <w:szCs w:val="21"/>
              </w:rPr>
              <w:t>1439</w:t>
            </w:r>
          </w:p>
        </w:tc>
        <w:tc>
          <w:tcPr>
            <w:tcW w:w="1064" w:type="dxa"/>
          </w:tcPr>
          <w:p>
            <w:pPr>
              <w:pStyle w:val="41"/>
              <w:rPr>
                <w:bCs/>
                <w:color w:val="000000"/>
                <w:szCs w:val="21"/>
              </w:rPr>
            </w:pPr>
            <w:r>
              <w:rPr>
                <w:color w:val="000000"/>
                <w:szCs w:val="21"/>
              </w:rPr>
              <w:t>29.4</w:t>
            </w:r>
          </w:p>
        </w:tc>
        <w:tc>
          <w:tcPr>
            <w:tcW w:w="1065" w:type="dxa"/>
          </w:tcPr>
          <w:p>
            <w:pPr>
              <w:pStyle w:val="41"/>
              <w:rPr>
                <w:bCs/>
                <w:color w:val="000000"/>
                <w:szCs w:val="21"/>
              </w:rPr>
            </w:pPr>
            <w:r>
              <w:rPr>
                <w:color w:val="000000"/>
                <w:szCs w:val="21"/>
              </w:rPr>
              <w:t>7.4</w:t>
            </w:r>
          </w:p>
        </w:tc>
        <w:tc>
          <w:tcPr>
            <w:tcW w:w="1064" w:type="dxa"/>
          </w:tcPr>
          <w:p>
            <w:pPr>
              <w:pStyle w:val="41"/>
              <w:rPr>
                <w:bCs/>
                <w:color w:val="000000"/>
                <w:szCs w:val="21"/>
              </w:rPr>
            </w:pPr>
            <w:r>
              <w:rPr>
                <w:rFonts w:hint="eastAsia"/>
                <w:bCs/>
                <w:color w:val="000000"/>
                <w:szCs w:val="21"/>
              </w:rPr>
              <w:t>81</w:t>
            </w:r>
          </w:p>
        </w:tc>
        <w:tc>
          <w:tcPr>
            <w:tcW w:w="1065" w:type="dxa"/>
          </w:tcPr>
          <w:p>
            <w:pPr>
              <w:pStyle w:val="41"/>
              <w:rPr>
                <w:bCs/>
                <w:color w:val="000000"/>
                <w:szCs w:val="21"/>
              </w:rPr>
            </w:pPr>
            <w:r>
              <w:rPr>
                <w:rFonts w:hint="eastAsia"/>
                <w:bCs/>
                <w:color w:val="00000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Pr>
          <w:p>
            <w:pPr>
              <w:pStyle w:val="41"/>
              <w:rPr>
                <w:bCs/>
              </w:rPr>
            </w:pPr>
            <w:r>
              <w:rPr>
                <w:rFonts w:hint="eastAsia"/>
                <w:bCs/>
              </w:rPr>
              <w:t>合计</w:t>
            </w:r>
          </w:p>
        </w:tc>
        <w:tc>
          <w:tcPr>
            <w:tcW w:w="1065" w:type="dxa"/>
          </w:tcPr>
          <w:p>
            <w:pPr>
              <w:pStyle w:val="41"/>
              <w:rPr>
                <w:color w:val="000000"/>
                <w:szCs w:val="21"/>
              </w:rPr>
            </w:pPr>
            <w:r>
              <w:rPr>
                <w:rFonts w:hint="eastAsia"/>
                <w:color w:val="000000"/>
                <w:szCs w:val="21"/>
              </w:rPr>
              <w:t>106869</w:t>
            </w:r>
          </w:p>
        </w:tc>
        <w:tc>
          <w:tcPr>
            <w:tcW w:w="1064" w:type="dxa"/>
          </w:tcPr>
          <w:p>
            <w:pPr>
              <w:pStyle w:val="41"/>
              <w:rPr>
                <w:bCs/>
                <w:color w:val="000000"/>
                <w:szCs w:val="21"/>
              </w:rPr>
            </w:pPr>
            <w:r>
              <w:rPr>
                <w:rFonts w:hint="eastAsia"/>
                <w:bCs/>
                <w:color w:val="000000"/>
                <w:szCs w:val="21"/>
              </w:rPr>
              <w:t>3243</w:t>
            </w:r>
          </w:p>
        </w:tc>
        <w:tc>
          <w:tcPr>
            <w:tcW w:w="1065" w:type="dxa"/>
          </w:tcPr>
          <w:p>
            <w:pPr>
              <w:pStyle w:val="41"/>
              <w:rPr>
                <w:bCs/>
                <w:color w:val="000000"/>
                <w:szCs w:val="21"/>
              </w:rPr>
            </w:pPr>
            <w:r>
              <w:rPr>
                <w:rFonts w:hint="eastAsia"/>
                <w:bCs/>
                <w:color w:val="000000"/>
                <w:szCs w:val="21"/>
              </w:rPr>
              <w:t>10704</w:t>
            </w:r>
          </w:p>
        </w:tc>
        <w:tc>
          <w:tcPr>
            <w:tcW w:w="1064" w:type="dxa"/>
          </w:tcPr>
          <w:p>
            <w:pPr>
              <w:pStyle w:val="41"/>
              <w:rPr>
                <w:color w:val="000000"/>
                <w:szCs w:val="21"/>
              </w:rPr>
            </w:pPr>
            <w:r>
              <w:rPr>
                <w:rFonts w:hint="eastAsia"/>
                <w:color w:val="000000"/>
                <w:szCs w:val="21"/>
              </w:rPr>
              <w:t>324.7</w:t>
            </w:r>
          </w:p>
        </w:tc>
        <w:tc>
          <w:tcPr>
            <w:tcW w:w="1065" w:type="dxa"/>
          </w:tcPr>
          <w:p>
            <w:pPr>
              <w:pStyle w:val="41"/>
              <w:rPr>
                <w:color w:val="000000"/>
                <w:szCs w:val="21"/>
              </w:rPr>
            </w:pPr>
            <w:r>
              <w:rPr>
                <w:rFonts w:hint="eastAsia"/>
                <w:color w:val="000000"/>
                <w:szCs w:val="21"/>
              </w:rPr>
              <w:t>70.3</w:t>
            </w:r>
          </w:p>
        </w:tc>
        <w:tc>
          <w:tcPr>
            <w:tcW w:w="1064" w:type="dxa"/>
          </w:tcPr>
          <w:p>
            <w:pPr>
              <w:pStyle w:val="41"/>
              <w:rPr>
                <w:bCs/>
                <w:color w:val="000000"/>
                <w:szCs w:val="21"/>
              </w:rPr>
            </w:pPr>
            <w:r>
              <w:rPr>
                <w:rFonts w:hint="eastAsia"/>
                <w:bCs/>
                <w:color w:val="000000"/>
                <w:szCs w:val="21"/>
              </w:rPr>
              <w:t>1670.2</w:t>
            </w:r>
          </w:p>
        </w:tc>
        <w:tc>
          <w:tcPr>
            <w:tcW w:w="1065" w:type="dxa"/>
          </w:tcPr>
          <w:p>
            <w:pPr>
              <w:pStyle w:val="41"/>
              <w:rPr>
                <w:bCs/>
                <w:color w:val="000000"/>
                <w:szCs w:val="21"/>
              </w:rPr>
            </w:pPr>
            <w:r>
              <w:rPr>
                <w:rFonts w:hint="eastAsia"/>
                <w:bCs/>
                <w:color w:val="000000"/>
                <w:szCs w:val="21"/>
              </w:rPr>
              <w:t>3.92</w:t>
            </w:r>
          </w:p>
        </w:tc>
      </w:tr>
    </w:tbl>
    <w:p>
      <w:pPr>
        <w:pStyle w:val="42"/>
        <w:jc w:val="both"/>
      </w:pPr>
    </w:p>
    <w:p>
      <w:pPr>
        <w:ind w:firstLine="0" w:firstLineChars="0"/>
        <w:rPr>
          <w:b/>
        </w:rPr>
      </w:pPr>
      <w:r>
        <w:rPr>
          <w:rFonts w:hint="eastAsia"/>
          <w:b/>
        </w:rPr>
        <w:t>（</w:t>
      </w:r>
      <w:r>
        <w:rPr>
          <w:b/>
        </w:rPr>
        <w:t>5</w:t>
      </w:r>
      <w:r>
        <w:rPr>
          <w:rFonts w:hint="eastAsia"/>
          <w:b/>
        </w:rPr>
        <w:t>）科技信息化水平进一步提高</w:t>
      </w:r>
    </w:p>
    <w:p>
      <w:pPr>
        <w:ind w:firstLine="560"/>
      </w:pPr>
      <w:r>
        <w:rPr>
          <w:rFonts w:hint="eastAsia"/>
        </w:rPr>
        <w:t>“十二五</w:t>
      </w:r>
      <w:r>
        <w:t>”</w:t>
      </w:r>
      <w:r>
        <w:rPr>
          <w:rFonts w:hint="eastAsia"/>
        </w:rPr>
        <w:t>期间，云和县道路运输管理局坚持以科技为先，建设</w:t>
      </w:r>
      <w:r>
        <w:t>“</w:t>
      </w:r>
      <w:r>
        <w:rPr>
          <w:rFonts w:hint="eastAsia"/>
        </w:rPr>
        <w:t>智慧运管</w:t>
      </w:r>
      <w:r>
        <w:t>”</w:t>
      </w:r>
      <w:r>
        <w:rPr>
          <w:rFonts w:hint="eastAsia"/>
        </w:rPr>
        <w:t>系统，引领道路运输的发展，为了适应道路运输生产力持续快速发展的需要，从根本上解决行业管理基础设施薄弱，规范化管理不足的问题，投资</w:t>
      </w:r>
      <w:r>
        <w:t>150</w:t>
      </w:r>
      <w:r>
        <w:rPr>
          <w:rFonts w:hint="eastAsia"/>
        </w:rPr>
        <w:t>余万元，建成了占地面积</w:t>
      </w:r>
      <w:r>
        <w:t>200</w:t>
      </w:r>
      <w:r>
        <w:rPr>
          <w:rFonts w:hint="eastAsia"/>
        </w:rPr>
        <w:t>多平方米的信息（指挥）中心，该信息（指挥）中心是一套以视频监控系统为主，集成报警、远程监控等其他安防子系统的综合性平台。一方面，以该信息（指挥）中心为中心平台，通过稽查车辆配备车载监控、执法人员配备现场执法记录仪等设备，建立了区域信息查询和运输市场监管的快速反应机制，通过高科技手段对各类的道路运输违章行为进行查处；另一方面，道路运输信息（指挥）中心</w:t>
      </w:r>
      <w:r>
        <w:t>96520</w:t>
      </w:r>
      <w:r>
        <w:rPr>
          <w:rFonts w:hint="eastAsia"/>
        </w:rPr>
        <w:t>综合语音服务系统可以实现监管企业的地理信息标点的录入，通过</w:t>
      </w:r>
      <w:r>
        <w:t>GPS</w:t>
      </w:r>
      <w:r>
        <w:rPr>
          <w:rFonts w:hint="eastAsia"/>
        </w:rPr>
        <w:t>和视频实时监控，做好信息指挥投诉实时处理模拟演示的实现工作。同时，信息指挥中心可以及时地对运输需求、违法行为、应急事件等提供服务、预警和应急处理，从而相关管理部门可以以此开展执法行动，从而更科学、合理的进行行业监管。</w:t>
      </w:r>
    </w:p>
    <w:p>
      <w:pPr>
        <w:ind w:firstLine="560"/>
      </w:pPr>
      <w:r>
        <w:rPr>
          <w:rFonts w:hint="eastAsia"/>
        </w:rPr>
        <w:t>此外，通过视频监控系统加强对“两客一危”车辆运行情况进行实时监控，所有客运车辆、汽车站站场、驾校、二类以上维修企业以及小顺检查站都接入视频监控信号，不定时对所有监控对象进行实时监控视频抽查，发现异常情况及时予以处理，切实提高非现场执法能力，加强行业监管。</w:t>
      </w:r>
    </w:p>
    <w:p>
      <w:pPr>
        <w:ind w:firstLine="0" w:firstLineChars="0"/>
        <w:rPr>
          <w:b/>
        </w:rPr>
      </w:pPr>
      <w:r>
        <w:rPr>
          <w:rFonts w:hint="eastAsia"/>
          <w:b/>
        </w:rPr>
        <w:t>（6）行业管理进一步得到创新</w:t>
      </w:r>
    </w:p>
    <w:p>
      <w:pPr>
        <w:ind w:firstLine="0" w:firstLineChars="0"/>
        <w:rPr>
          <w:b/>
        </w:rPr>
      </w:pPr>
      <w:r>
        <w:rPr>
          <w:rFonts w:hint="eastAsia"/>
          <w:b/>
        </w:rPr>
        <w:t>——行业形象不断提升</w:t>
      </w:r>
    </w:p>
    <w:p>
      <w:pPr>
        <w:ind w:firstLine="560"/>
      </w:pPr>
      <w:r>
        <w:rPr>
          <w:rFonts w:hint="eastAsia"/>
        </w:rPr>
        <w:t>“十二五”期间，县道路运输管理局深入开展行业管理创新研究，并推进一系列行业管理创新办法取得了显著成效。2012年云和县公路运输管理所正式改名为云和县道路运输管理局，统一了办公楼外观标识。2014年云和县开展的26个涉企（项目）单位70个中层岗位民主评议中，云和县道路运输管理局在执法检查类涉企单位荣获全县第一名的好成绩。2015年，又被评为云和县十大“美丽单位”之一，较好地提升了运管部门的社会形象。</w:t>
      </w:r>
    </w:p>
    <w:p>
      <w:pPr>
        <w:ind w:firstLine="0" w:firstLineChars="0"/>
        <w:rPr>
          <w:b/>
        </w:rPr>
      </w:pPr>
      <w:r>
        <w:rPr>
          <w:rFonts w:hint="eastAsia"/>
          <w:b/>
        </w:rPr>
        <w:t>——加强对外宣传</w:t>
      </w:r>
    </w:p>
    <w:p>
      <w:pPr>
        <w:ind w:firstLine="560"/>
      </w:pPr>
      <w:r>
        <w:rPr>
          <w:rFonts w:hint="eastAsia"/>
        </w:rPr>
        <w:t>2010年，云和县人民政府出台了《云和县农村客运班车补助暂行办法》，推动了全县农村客运班车健康、稳定的发展，也响应了省委省政府提出的全面建设小康社会的时代号召，真正落实了以人为本，促进民生的方针政策，较好地解决山区群众出行问题，获得了广大居民的好评。“云和县农村客运‘以奖代补’制度”被省交通运输厅评为“2011年全省交通运输管理创新示范项目”之一，同时被丽水市交通运输局评为“2012年丽水交通十大利民大事”之一。并由《交通旅游导报》拍摄成专题片，向全省宣传推广交通运输管理创新示范项目成果。</w:t>
      </w:r>
    </w:p>
    <w:p>
      <w:pPr>
        <w:ind w:firstLine="0" w:firstLineChars="0"/>
        <w:rPr>
          <w:b/>
        </w:rPr>
      </w:pPr>
      <w:r>
        <w:rPr>
          <w:rFonts w:hint="eastAsia"/>
          <w:b/>
        </w:rPr>
        <w:t>——认真落实简政放权方针政策</w:t>
      </w:r>
    </w:p>
    <w:p>
      <w:pPr>
        <w:ind w:firstLine="560"/>
      </w:pPr>
      <w:r>
        <w:rPr>
          <w:rFonts w:hint="eastAsia"/>
        </w:rPr>
        <w:t>“十二五”期间，云和县完成了行政许可、行政处罚、行政强制等权</w:t>
      </w:r>
      <w:r>
        <w:rPr>
          <w:rFonts w:hint="eastAsia"/>
          <w:lang w:eastAsia="zh-CN"/>
        </w:rPr>
        <w:t>力</w:t>
      </w:r>
      <w:r>
        <w:rPr>
          <w:rFonts w:hint="eastAsia"/>
        </w:rPr>
        <w:t>清单梳理工作。并根据省运管局进一步加快政府职能转变，减少审批环节，提高行政许可效率。彻底转变“重审批、轻服务”、“重处罚、轻监管”的倾向，建立省、市、县权责一致的行业管理服务体系要求，道路运输管理局积极开展行政许可事项调研，简化或取消部分运政、行政许可事项，切实提升审批效率。2011-2015年，县道路运输管理局累计办结行政许可案件11896件，其中承诺件517件，即办件12794件（配发道路运输证579件）。并按规定时间办结，未发生一起投诉事件。</w:t>
      </w:r>
    </w:p>
    <w:p>
      <w:pPr>
        <w:pStyle w:val="60"/>
      </w:pPr>
      <w:r>
        <w:rPr>
          <w:rFonts w:hint="eastAsia"/>
        </w:rPr>
        <w:t>表</w:t>
      </w:r>
      <w:r>
        <w:t>2-</w:t>
      </w:r>
      <w:r>
        <w:rPr>
          <w:rFonts w:hint="eastAsia"/>
        </w:rPr>
        <w:t>10</w:t>
      </w:r>
      <w:r>
        <w:t>201</w:t>
      </w:r>
      <w:r>
        <w:rPr>
          <w:rFonts w:hint="eastAsia"/>
        </w:rPr>
        <w:t>1</w:t>
      </w:r>
      <w:r>
        <w:t>-201</w:t>
      </w:r>
      <w:r>
        <w:rPr>
          <w:rFonts w:hint="eastAsia"/>
        </w:rPr>
        <w:t>5年云和县许可办件情况</w:t>
      </w:r>
    </w:p>
    <w:tbl>
      <w:tblPr>
        <w:tblStyle w:val="23"/>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277"/>
        <w:gridCol w:w="1277"/>
        <w:gridCol w:w="1277"/>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79" w:type="dxa"/>
            <w:shd w:val="clear" w:color="auto" w:fill="D8D8D8" w:themeFill="background1" w:themeFillShade="D9"/>
            <w:noWrap/>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年份</w:t>
            </w:r>
          </w:p>
        </w:tc>
        <w:tc>
          <w:tcPr>
            <w:tcW w:w="1277" w:type="dxa"/>
            <w:shd w:val="clear" w:color="auto" w:fill="D8D8D8" w:themeFill="background1" w:themeFillShade="D9"/>
            <w:noWrap/>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许可件</w:t>
            </w:r>
          </w:p>
        </w:tc>
        <w:tc>
          <w:tcPr>
            <w:tcW w:w="1277" w:type="dxa"/>
            <w:shd w:val="clear" w:color="auto" w:fill="D8D8D8" w:themeFill="background1" w:themeFillShade="D9"/>
            <w:noWrap/>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即办件</w:t>
            </w:r>
          </w:p>
        </w:tc>
        <w:tc>
          <w:tcPr>
            <w:tcW w:w="1277" w:type="dxa"/>
            <w:shd w:val="clear" w:color="auto" w:fill="D8D8D8" w:themeFill="background1" w:themeFillShade="D9"/>
            <w:noWrap/>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总办件</w:t>
            </w:r>
          </w:p>
        </w:tc>
        <w:tc>
          <w:tcPr>
            <w:tcW w:w="2688" w:type="dxa"/>
            <w:shd w:val="clear" w:color="auto" w:fill="D8D8D8" w:themeFill="background1" w:themeFillShade="D9"/>
            <w:noWrap/>
            <w:vAlign w:val="center"/>
          </w:tcPr>
          <w:p>
            <w:pPr>
              <w:widowControl/>
              <w:spacing w:line="240" w:lineRule="auto"/>
              <w:ind w:firstLine="0" w:firstLineChars="0"/>
              <w:jc w:val="center"/>
              <w:rPr>
                <w:rFonts w:ascii="宋体" w:hAnsi="宋体" w:cs="宋体"/>
                <w:b/>
                <w:sz w:val="24"/>
                <w:szCs w:val="24"/>
              </w:rPr>
            </w:pPr>
            <w:r>
              <w:rPr>
                <w:rFonts w:hint="eastAsia" w:ascii="宋体" w:hAnsi="宋体" w:cs="宋体"/>
                <w:b/>
                <w:sz w:val="24"/>
                <w:szCs w:val="24"/>
              </w:rPr>
              <w:t>其中配发车辆运输证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2011年</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165</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1865</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2030</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2012年</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151</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1975</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2126</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2013年</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91</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2481</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2572</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2014年</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72</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2428</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2881</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2015年</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38</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3147</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3185</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9"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总计</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517</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11896</w:t>
            </w:r>
          </w:p>
        </w:tc>
        <w:tc>
          <w:tcPr>
            <w:tcW w:w="1277"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12794</w:t>
            </w:r>
          </w:p>
        </w:tc>
        <w:tc>
          <w:tcPr>
            <w:tcW w:w="2688" w:type="dxa"/>
            <w:shd w:val="clear" w:color="auto" w:fill="auto"/>
            <w:noWrap/>
            <w:vAlign w:val="center"/>
          </w:tcPr>
          <w:p>
            <w:pPr>
              <w:widowControl/>
              <w:spacing w:line="240" w:lineRule="auto"/>
              <w:ind w:firstLine="0" w:firstLineChars="0"/>
              <w:jc w:val="center"/>
              <w:rPr>
                <w:rFonts w:ascii="宋体" w:hAnsi="宋体" w:cs="宋体"/>
                <w:sz w:val="24"/>
                <w:szCs w:val="24"/>
              </w:rPr>
            </w:pPr>
            <w:r>
              <w:rPr>
                <w:rFonts w:hint="eastAsia" w:ascii="宋体" w:hAnsi="宋体" w:cs="宋体"/>
                <w:sz w:val="24"/>
                <w:szCs w:val="24"/>
              </w:rPr>
              <w:t>579</w:t>
            </w:r>
          </w:p>
        </w:tc>
      </w:tr>
    </w:tbl>
    <w:p>
      <w:pPr>
        <w:pStyle w:val="42"/>
        <w:jc w:val="both"/>
      </w:pPr>
    </w:p>
    <w:p>
      <w:pPr>
        <w:ind w:firstLine="0" w:firstLineChars="0"/>
        <w:rPr>
          <w:b/>
        </w:rPr>
      </w:pPr>
      <w:r>
        <w:rPr>
          <w:rFonts w:hint="eastAsia"/>
          <w:b/>
        </w:rPr>
        <w:t>——开展联合执法，突破行业壁垒</w:t>
      </w:r>
    </w:p>
    <w:p>
      <w:pPr>
        <w:ind w:firstLine="560"/>
      </w:pPr>
      <w:r>
        <w:rPr>
          <w:rFonts w:hint="eastAsia"/>
        </w:rPr>
        <w:t>县道路运输管理局加强对道路运输市场行业监管创新，强化稽查力量，实行全员上路执法，加强对道路运输行业的源头监管和路上的动态监管；积极探索非现场执法方式，利用信息（指挥）中心视频监控平台，查处相关违章行为。以开展各项专项</w:t>
      </w:r>
      <w:r>
        <w:rPr>
          <w:rFonts w:hint="eastAsia"/>
          <w:lang w:eastAsia="zh-CN"/>
        </w:rPr>
        <w:t>整治</w:t>
      </w:r>
      <w:r>
        <w:rPr>
          <w:rFonts w:hint="eastAsia"/>
        </w:rPr>
        <w:t>行动为载体，强化对道路运输市场存在较为突出、社会反应较为激烈、安全维稳较为严峻等问题进行专项整治。建立与高速交警、景宁运管等部门的联合执法机制，加强信息沟通，共筑监管防线，充分发挥联合执法威力。</w:t>
      </w:r>
    </w:p>
    <w:p>
      <w:pPr>
        <w:pStyle w:val="60"/>
      </w:pPr>
      <w:r>
        <w:rPr>
          <w:rFonts w:hint="eastAsia"/>
        </w:rPr>
        <w:t>表</w:t>
      </w:r>
      <w:r>
        <w:t>2-</w:t>
      </w:r>
      <w:r>
        <w:rPr>
          <w:rFonts w:hint="eastAsia"/>
        </w:rPr>
        <w:t>11</w:t>
      </w:r>
      <w:r>
        <w:t xml:space="preserve"> 201</w:t>
      </w:r>
      <w:r>
        <w:rPr>
          <w:rFonts w:hint="eastAsia"/>
        </w:rPr>
        <w:t>1</w:t>
      </w:r>
      <w:r>
        <w:t>-201</w:t>
      </w:r>
      <w:r>
        <w:rPr>
          <w:rFonts w:hint="eastAsia"/>
        </w:rPr>
        <w:t>5年云和县违章稽查统计表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7"/>
        <w:gridCol w:w="1238"/>
        <w:gridCol w:w="1238"/>
        <w:gridCol w:w="1238"/>
        <w:gridCol w:w="1238"/>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4" w:type="dxa"/>
            <w:shd w:val="clear" w:color="auto" w:fill="D8D8D8" w:themeFill="background1" w:themeFillShade="D9"/>
            <w:vAlign w:val="center"/>
          </w:tcPr>
          <w:p>
            <w:pPr>
              <w:spacing w:line="460" w:lineRule="exact"/>
              <w:ind w:firstLine="482"/>
              <w:jc w:val="center"/>
              <w:rPr>
                <w:rFonts w:ascii="宋体" w:hAnsi="宋体"/>
                <w:b/>
                <w:bCs/>
                <w:sz w:val="24"/>
              </w:rPr>
            </w:pPr>
          </w:p>
        </w:tc>
        <w:tc>
          <w:tcPr>
            <w:tcW w:w="1250"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2011</w:t>
            </w:r>
          </w:p>
        </w:tc>
        <w:tc>
          <w:tcPr>
            <w:tcW w:w="1251"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2012</w:t>
            </w:r>
          </w:p>
        </w:tc>
        <w:tc>
          <w:tcPr>
            <w:tcW w:w="1251"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2013</w:t>
            </w:r>
          </w:p>
        </w:tc>
        <w:tc>
          <w:tcPr>
            <w:tcW w:w="1251"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2014</w:t>
            </w:r>
          </w:p>
        </w:tc>
        <w:tc>
          <w:tcPr>
            <w:tcW w:w="1251" w:type="dxa"/>
            <w:shd w:val="clear" w:color="auto" w:fill="D8D8D8" w:themeFill="background1" w:themeFillShade="D9"/>
            <w:vAlign w:val="center"/>
          </w:tcPr>
          <w:p>
            <w:pPr>
              <w:spacing w:line="460" w:lineRule="exact"/>
              <w:ind w:firstLineChars="83"/>
              <w:rPr>
                <w:rFonts w:ascii="宋体" w:hAnsi="宋体"/>
                <w:b/>
                <w:bCs/>
                <w:sz w:val="24"/>
              </w:rPr>
            </w:pPr>
            <w:r>
              <w:rPr>
                <w:rFonts w:hint="eastAsia" w:ascii="宋体" w:hAnsi="宋体"/>
                <w:b/>
                <w:bCs/>
                <w:sz w:val="24"/>
              </w:rPr>
              <w:t xml:space="preserve">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4" w:type="dxa"/>
            <w:vAlign w:val="center"/>
          </w:tcPr>
          <w:p>
            <w:pPr>
              <w:spacing w:line="460" w:lineRule="exact"/>
              <w:ind w:firstLine="480"/>
              <w:rPr>
                <w:rFonts w:ascii="宋体" w:hAnsi="宋体"/>
                <w:bCs/>
                <w:sz w:val="24"/>
              </w:rPr>
            </w:pPr>
            <w:r>
              <w:rPr>
                <w:rFonts w:hint="eastAsia" w:ascii="宋体" w:hAnsi="宋体"/>
                <w:bCs/>
                <w:sz w:val="24"/>
              </w:rPr>
              <w:t>检查车辆数</w:t>
            </w:r>
          </w:p>
        </w:tc>
        <w:tc>
          <w:tcPr>
            <w:tcW w:w="1250" w:type="dxa"/>
            <w:vAlign w:val="center"/>
          </w:tcPr>
          <w:p>
            <w:pPr>
              <w:spacing w:line="460" w:lineRule="exact"/>
              <w:ind w:firstLine="199" w:firstLineChars="83"/>
              <w:rPr>
                <w:rFonts w:ascii="宋体" w:hAnsi="宋体"/>
                <w:bCs/>
                <w:sz w:val="24"/>
              </w:rPr>
            </w:pPr>
            <w:r>
              <w:rPr>
                <w:rFonts w:hint="eastAsia" w:ascii="宋体" w:hAnsi="宋体"/>
                <w:bCs/>
                <w:sz w:val="24"/>
              </w:rPr>
              <w:t>5800</w:t>
            </w:r>
          </w:p>
        </w:tc>
        <w:tc>
          <w:tcPr>
            <w:tcW w:w="1251" w:type="dxa"/>
            <w:vAlign w:val="center"/>
          </w:tcPr>
          <w:p>
            <w:pPr>
              <w:spacing w:line="460" w:lineRule="exact"/>
              <w:ind w:firstLine="199" w:firstLineChars="83"/>
              <w:rPr>
                <w:rFonts w:ascii="宋体" w:hAnsi="宋体"/>
                <w:bCs/>
                <w:sz w:val="24"/>
              </w:rPr>
            </w:pPr>
            <w:r>
              <w:rPr>
                <w:rFonts w:hint="eastAsia" w:ascii="宋体" w:hAnsi="宋体"/>
                <w:bCs/>
                <w:sz w:val="24"/>
              </w:rPr>
              <w:t>5600</w:t>
            </w:r>
          </w:p>
        </w:tc>
        <w:tc>
          <w:tcPr>
            <w:tcW w:w="1251" w:type="dxa"/>
            <w:vAlign w:val="center"/>
          </w:tcPr>
          <w:p>
            <w:pPr>
              <w:spacing w:line="460" w:lineRule="exact"/>
              <w:ind w:firstLine="199" w:firstLineChars="83"/>
              <w:rPr>
                <w:rFonts w:ascii="宋体" w:hAnsi="宋体"/>
                <w:bCs/>
                <w:sz w:val="24"/>
              </w:rPr>
            </w:pPr>
            <w:r>
              <w:rPr>
                <w:rFonts w:hint="eastAsia" w:ascii="宋体" w:hAnsi="宋体"/>
                <w:bCs/>
                <w:sz w:val="24"/>
              </w:rPr>
              <w:t>5700</w:t>
            </w:r>
          </w:p>
        </w:tc>
        <w:tc>
          <w:tcPr>
            <w:tcW w:w="1251" w:type="dxa"/>
            <w:vAlign w:val="center"/>
          </w:tcPr>
          <w:p>
            <w:pPr>
              <w:spacing w:line="460" w:lineRule="exact"/>
              <w:ind w:firstLine="199" w:firstLineChars="83"/>
              <w:rPr>
                <w:rFonts w:ascii="宋体" w:hAnsi="宋体"/>
                <w:bCs/>
                <w:sz w:val="24"/>
              </w:rPr>
            </w:pPr>
            <w:r>
              <w:rPr>
                <w:rFonts w:hint="eastAsia" w:ascii="宋体" w:hAnsi="宋体"/>
                <w:bCs/>
                <w:sz w:val="24"/>
              </w:rPr>
              <w:t>5300</w:t>
            </w:r>
          </w:p>
        </w:tc>
        <w:tc>
          <w:tcPr>
            <w:tcW w:w="1251" w:type="dxa"/>
            <w:vAlign w:val="center"/>
          </w:tcPr>
          <w:p>
            <w:pPr>
              <w:spacing w:line="460" w:lineRule="exact"/>
              <w:ind w:firstLine="199" w:firstLineChars="83"/>
              <w:rPr>
                <w:rFonts w:ascii="宋体" w:hAnsi="宋体"/>
                <w:bCs/>
                <w:sz w:val="24"/>
              </w:rPr>
            </w:pPr>
            <w:r>
              <w:rPr>
                <w:rFonts w:hint="eastAsia" w:ascii="宋体" w:hAnsi="宋体"/>
                <w:bCs/>
                <w:sz w:val="24"/>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4" w:type="dxa"/>
            <w:vMerge w:val="restart"/>
            <w:vAlign w:val="center"/>
          </w:tcPr>
          <w:p>
            <w:pPr>
              <w:spacing w:line="460" w:lineRule="exact"/>
              <w:ind w:firstLine="480"/>
              <w:jc w:val="center"/>
              <w:rPr>
                <w:rFonts w:ascii="宋体" w:hAnsi="宋体"/>
                <w:bCs/>
                <w:sz w:val="24"/>
              </w:rPr>
            </w:pPr>
            <w:r>
              <w:rPr>
                <w:rFonts w:hint="eastAsia" w:ascii="宋体" w:hAnsi="宋体"/>
                <w:bCs/>
                <w:sz w:val="24"/>
              </w:rPr>
              <w:t>查处违章数：</w:t>
            </w:r>
          </w:p>
          <w:p>
            <w:pPr>
              <w:spacing w:line="460" w:lineRule="exact"/>
              <w:ind w:firstLine="0" w:firstLineChars="0"/>
              <w:rPr>
                <w:rFonts w:ascii="宋体" w:hAnsi="宋体"/>
                <w:bCs/>
                <w:sz w:val="18"/>
                <w:szCs w:val="18"/>
              </w:rPr>
            </w:pPr>
            <w:r>
              <w:rPr>
                <w:rFonts w:hint="eastAsia" w:ascii="宋体" w:hAnsi="宋体"/>
                <w:bCs/>
                <w:sz w:val="24"/>
              </w:rPr>
              <w:t>（其中非现场执法查处数）</w:t>
            </w:r>
          </w:p>
        </w:tc>
        <w:tc>
          <w:tcPr>
            <w:tcW w:w="1250" w:type="dxa"/>
            <w:vAlign w:val="center"/>
          </w:tcPr>
          <w:p>
            <w:pPr>
              <w:spacing w:line="460" w:lineRule="exact"/>
              <w:ind w:firstLine="480"/>
              <w:rPr>
                <w:rFonts w:ascii="宋体" w:hAnsi="宋体"/>
                <w:bCs/>
                <w:sz w:val="24"/>
              </w:rPr>
            </w:pPr>
            <w:r>
              <w:rPr>
                <w:rFonts w:hint="eastAsia" w:ascii="宋体" w:hAnsi="宋体"/>
                <w:bCs/>
                <w:sz w:val="24"/>
              </w:rPr>
              <w:t>62</w:t>
            </w:r>
          </w:p>
        </w:tc>
        <w:tc>
          <w:tcPr>
            <w:tcW w:w="1251" w:type="dxa"/>
            <w:vAlign w:val="center"/>
          </w:tcPr>
          <w:p>
            <w:pPr>
              <w:spacing w:line="460" w:lineRule="exact"/>
              <w:ind w:firstLine="480"/>
              <w:rPr>
                <w:rFonts w:ascii="宋体" w:hAnsi="宋体"/>
                <w:bCs/>
                <w:sz w:val="24"/>
              </w:rPr>
            </w:pPr>
            <w:r>
              <w:rPr>
                <w:rFonts w:hint="eastAsia" w:ascii="宋体" w:hAnsi="宋体"/>
                <w:bCs/>
                <w:sz w:val="24"/>
              </w:rPr>
              <w:t>49</w:t>
            </w:r>
          </w:p>
        </w:tc>
        <w:tc>
          <w:tcPr>
            <w:tcW w:w="1251" w:type="dxa"/>
            <w:vAlign w:val="center"/>
          </w:tcPr>
          <w:p>
            <w:pPr>
              <w:spacing w:line="460" w:lineRule="exact"/>
              <w:ind w:firstLine="480"/>
              <w:rPr>
                <w:rFonts w:ascii="宋体" w:hAnsi="宋体"/>
                <w:bCs/>
                <w:sz w:val="24"/>
              </w:rPr>
            </w:pPr>
            <w:r>
              <w:rPr>
                <w:rFonts w:hint="eastAsia" w:ascii="宋体" w:hAnsi="宋体"/>
                <w:bCs/>
                <w:sz w:val="24"/>
              </w:rPr>
              <w:t>36</w:t>
            </w:r>
          </w:p>
        </w:tc>
        <w:tc>
          <w:tcPr>
            <w:tcW w:w="1251" w:type="dxa"/>
            <w:vAlign w:val="center"/>
          </w:tcPr>
          <w:p>
            <w:pPr>
              <w:spacing w:line="460" w:lineRule="exact"/>
              <w:ind w:firstLine="480"/>
              <w:rPr>
                <w:rFonts w:ascii="宋体" w:hAnsi="宋体"/>
                <w:bCs/>
                <w:sz w:val="24"/>
              </w:rPr>
            </w:pPr>
            <w:r>
              <w:rPr>
                <w:rFonts w:hint="eastAsia" w:ascii="宋体" w:hAnsi="宋体"/>
                <w:bCs/>
                <w:sz w:val="24"/>
              </w:rPr>
              <w:t>41</w:t>
            </w:r>
          </w:p>
        </w:tc>
        <w:tc>
          <w:tcPr>
            <w:tcW w:w="1251" w:type="dxa"/>
            <w:vAlign w:val="center"/>
          </w:tcPr>
          <w:p>
            <w:pPr>
              <w:spacing w:line="460" w:lineRule="exact"/>
              <w:ind w:firstLine="480"/>
              <w:rPr>
                <w:rFonts w:ascii="宋体" w:hAnsi="宋体"/>
                <w:bCs/>
                <w:sz w:val="24"/>
              </w:rPr>
            </w:pPr>
            <w:r>
              <w:rPr>
                <w:rFonts w:hint="eastAsia" w:ascii="宋体" w:hAnsi="宋体"/>
                <w:bCs/>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34" w:type="dxa"/>
            <w:vMerge w:val="continue"/>
            <w:vAlign w:val="center"/>
          </w:tcPr>
          <w:p>
            <w:pPr>
              <w:spacing w:line="460" w:lineRule="exact"/>
              <w:ind w:firstLine="480"/>
              <w:jc w:val="center"/>
              <w:rPr>
                <w:rFonts w:ascii="宋体" w:hAnsi="宋体"/>
                <w:bCs/>
                <w:sz w:val="24"/>
              </w:rPr>
            </w:pPr>
          </w:p>
        </w:tc>
        <w:tc>
          <w:tcPr>
            <w:tcW w:w="1250" w:type="dxa"/>
            <w:vAlign w:val="center"/>
          </w:tcPr>
          <w:p>
            <w:pPr>
              <w:spacing w:line="460" w:lineRule="exact"/>
              <w:ind w:firstLine="480"/>
              <w:rPr>
                <w:rFonts w:ascii="宋体" w:hAnsi="宋体"/>
                <w:bCs/>
                <w:sz w:val="24"/>
              </w:rPr>
            </w:pPr>
            <w:r>
              <w:rPr>
                <w:rFonts w:hint="eastAsia" w:ascii="宋体" w:hAnsi="宋体"/>
                <w:bCs/>
                <w:sz w:val="24"/>
              </w:rPr>
              <w:t>0</w:t>
            </w:r>
          </w:p>
        </w:tc>
        <w:tc>
          <w:tcPr>
            <w:tcW w:w="1251" w:type="dxa"/>
            <w:vAlign w:val="center"/>
          </w:tcPr>
          <w:p>
            <w:pPr>
              <w:spacing w:line="460" w:lineRule="exact"/>
              <w:ind w:firstLine="480"/>
              <w:rPr>
                <w:rFonts w:ascii="宋体" w:hAnsi="宋体"/>
                <w:bCs/>
                <w:sz w:val="24"/>
              </w:rPr>
            </w:pPr>
            <w:r>
              <w:rPr>
                <w:rFonts w:hint="eastAsia" w:ascii="宋体" w:hAnsi="宋体"/>
                <w:bCs/>
                <w:sz w:val="24"/>
              </w:rPr>
              <w:t>0</w:t>
            </w:r>
          </w:p>
        </w:tc>
        <w:tc>
          <w:tcPr>
            <w:tcW w:w="1251" w:type="dxa"/>
            <w:vAlign w:val="center"/>
          </w:tcPr>
          <w:p>
            <w:pPr>
              <w:spacing w:line="460" w:lineRule="exact"/>
              <w:ind w:firstLine="480"/>
              <w:rPr>
                <w:rFonts w:ascii="宋体" w:hAnsi="宋体"/>
                <w:bCs/>
                <w:sz w:val="24"/>
              </w:rPr>
            </w:pPr>
            <w:r>
              <w:rPr>
                <w:rFonts w:hint="eastAsia" w:ascii="宋体" w:hAnsi="宋体"/>
                <w:bCs/>
                <w:sz w:val="24"/>
              </w:rPr>
              <w:t>2</w:t>
            </w:r>
          </w:p>
        </w:tc>
        <w:tc>
          <w:tcPr>
            <w:tcW w:w="1251" w:type="dxa"/>
            <w:vAlign w:val="center"/>
          </w:tcPr>
          <w:p>
            <w:pPr>
              <w:spacing w:line="460" w:lineRule="exact"/>
              <w:ind w:firstLine="480"/>
              <w:rPr>
                <w:rFonts w:ascii="宋体" w:hAnsi="宋体"/>
                <w:bCs/>
                <w:sz w:val="24"/>
              </w:rPr>
            </w:pPr>
            <w:r>
              <w:rPr>
                <w:rFonts w:hint="eastAsia" w:ascii="宋体" w:hAnsi="宋体"/>
                <w:bCs/>
                <w:sz w:val="24"/>
              </w:rPr>
              <w:t>4</w:t>
            </w:r>
          </w:p>
        </w:tc>
        <w:tc>
          <w:tcPr>
            <w:tcW w:w="1251" w:type="dxa"/>
            <w:vAlign w:val="center"/>
          </w:tcPr>
          <w:p>
            <w:pPr>
              <w:spacing w:line="460" w:lineRule="exact"/>
              <w:ind w:firstLine="480"/>
              <w:rPr>
                <w:rFonts w:ascii="宋体" w:hAnsi="宋体"/>
                <w:bCs/>
                <w:sz w:val="24"/>
              </w:rPr>
            </w:pPr>
            <w:r>
              <w:rPr>
                <w:rFonts w:hint="eastAsia" w:ascii="宋体" w:hAnsi="宋体"/>
                <w:bCs/>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4" w:type="dxa"/>
            <w:vAlign w:val="center"/>
          </w:tcPr>
          <w:p>
            <w:pPr>
              <w:spacing w:line="460" w:lineRule="exact"/>
              <w:ind w:firstLine="480"/>
              <w:rPr>
                <w:rFonts w:ascii="宋体" w:hAnsi="宋体"/>
                <w:bCs/>
                <w:sz w:val="24"/>
              </w:rPr>
            </w:pPr>
            <w:r>
              <w:rPr>
                <w:rFonts w:hint="eastAsia" w:ascii="宋体" w:hAnsi="宋体"/>
                <w:bCs/>
                <w:sz w:val="24"/>
              </w:rPr>
              <w:t>联合执法次数</w:t>
            </w:r>
          </w:p>
        </w:tc>
        <w:tc>
          <w:tcPr>
            <w:tcW w:w="1250" w:type="dxa"/>
            <w:vAlign w:val="center"/>
          </w:tcPr>
          <w:p>
            <w:pPr>
              <w:spacing w:line="460" w:lineRule="exact"/>
              <w:ind w:firstLine="480"/>
              <w:rPr>
                <w:rFonts w:ascii="宋体" w:hAnsi="宋体"/>
                <w:bCs/>
                <w:sz w:val="24"/>
              </w:rPr>
            </w:pPr>
            <w:r>
              <w:rPr>
                <w:rFonts w:hint="eastAsia" w:ascii="宋体" w:hAnsi="宋体"/>
                <w:bCs/>
                <w:sz w:val="24"/>
              </w:rPr>
              <w:t>5</w:t>
            </w:r>
          </w:p>
        </w:tc>
        <w:tc>
          <w:tcPr>
            <w:tcW w:w="1251" w:type="dxa"/>
            <w:vAlign w:val="center"/>
          </w:tcPr>
          <w:p>
            <w:pPr>
              <w:spacing w:line="460" w:lineRule="exact"/>
              <w:ind w:firstLine="480"/>
              <w:rPr>
                <w:rFonts w:ascii="宋体" w:hAnsi="宋体"/>
                <w:bCs/>
                <w:sz w:val="24"/>
              </w:rPr>
            </w:pPr>
            <w:r>
              <w:rPr>
                <w:rFonts w:hint="eastAsia" w:ascii="宋体" w:hAnsi="宋体"/>
                <w:bCs/>
                <w:sz w:val="24"/>
              </w:rPr>
              <w:t>8</w:t>
            </w:r>
          </w:p>
        </w:tc>
        <w:tc>
          <w:tcPr>
            <w:tcW w:w="1251" w:type="dxa"/>
            <w:vAlign w:val="center"/>
          </w:tcPr>
          <w:p>
            <w:pPr>
              <w:spacing w:line="460" w:lineRule="exact"/>
              <w:ind w:firstLine="480"/>
              <w:rPr>
                <w:rFonts w:ascii="宋体" w:hAnsi="宋体"/>
                <w:bCs/>
                <w:sz w:val="24"/>
              </w:rPr>
            </w:pPr>
            <w:r>
              <w:rPr>
                <w:rFonts w:hint="eastAsia" w:ascii="宋体" w:hAnsi="宋体"/>
                <w:bCs/>
                <w:sz w:val="24"/>
              </w:rPr>
              <w:t>10</w:t>
            </w:r>
          </w:p>
        </w:tc>
        <w:tc>
          <w:tcPr>
            <w:tcW w:w="1251" w:type="dxa"/>
            <w:vAlign w:val="center"/>
          </w:tcPr>
          <w:p>
            <w:pPr>
              <w:spacing w:line="460" w:lineRule="exact"/>
              <w:ind w:firstLine="480"/>
              <w:rPr>
                <w:rFonts w:ascii="宋体" w:hAnsi="宋体"/>
                <w:bCs/>
                <w:sz w:val="24"/>
              </w:rPr>
            </w:pPr>
            <w:r>
              <w:rPr>
                <w:rFonts w:hint="eastAsia" w:ascii="宋体" w:hAnsi="宋体"/>
                <w:bCs/>
                <w:sz w:val="24"/>
              </w:rPr>
              <w:t>12</w:t>
            </w:r>
          </w:p>
        </w:tc>
        <w:tc>
          <w:tcPr>
            <w:tcW w:w="1251" w:type="dxa"/>
            <w:vAlign w:val="center"/>
          </w:tcPr>
          <w:p>
            <w:pPr>
              <w:spacing w:line="460" w:lineRule="exact"/>
              <w:ind w:firstLine="480"/>
              <w:rPr>
                <w:rFonts w:ascii="宋体" w:hAnsi="宋体"/>
                <w:bCs/>
                <w:sz w:val="24"/>
              </w:rPr>
            </w:pPr>
            <w:r>
              <w:rPr>
                <w:rFonts w:hint="eastAsia" w:ascii="宋体" w:hAnsi="宋体"/>
                <w:bCs/>
                <w:sz w:val="24"/>
              </w:rPr>
              <w:t>12</w:t>
            </w:r>
          </w:p>
        </w:tc>
      </w:tr>
    </w:tbl>
    <w:p>
      <w:pPr>
        <w:ind w:firstLine="0" w:firstLineChars="0"/>
      </w:pPr>
    </w:p>
    <w:p>
      <w:pPr>
        <w:ind w:firstLine="0" w:firstLineChars="0"/>
        <w:rPr>
          <w:b/>
        </w:rPr>
      </w:pPr>
      <w:r>
        <w:rPr>
          <w:rFonts w:hint="eastAsia"/>
          <w:b/>
        </w:rPr>
        <w:t>——加强道路运输企业维稳工作，稳定行业发展</w:t>
      </w:r>
    </w:p>
    <w:p>
      <w:pPr>
        <w:ind w:firstLine="560"/>
      </w:pPr>
      <w:r>
        <w:rPr>
          <w:rFonts w:hint="eastAsia"/>
        </w:rPr>
        <w:t>2013年，云和县唯一一家从事客运的魏氏集团向法院申请破产，道路运输管理局第一时间采取措施，维护企业正常运营秩序。通过召开各类会议稳定思想，创新管理办法促落实、实施工资绩效考核强管理、派驻运管人员驻站维稳、实施封闭管理保安全、强化细节平稳等手段确保云和县车站平安稳定。通过严抓齐管，恒通公司爆发财务危机以来未发生过行车安全事故，为稳定行业发展起到了积极作用。</w:t>
      </w:r>
    </w:p>
    <w:p>
      <w:pPr>
        <w:pStyle w:val="3"/>
        <w:spacing w:before="190" w:after="190"/>
      </w:pPr>
      <w:bookmarkStart w:id="23" w:name="_Toc340220195"/>
      <w:r>
        <w:rPr>
          <w:rFonts w:hint="eastAsia"/>
        </w:rPr>
        <w:t>2.4云和县道路运输发展存在的问题</w:t>
      </w:r>
      <w:bookmarkEnd w:id="23"/>
    </w:p>
    <w:p>
      <w:pPr>
        <w:ind w:firstLine="0" w:firstLineChars="0"/>
        <w:rPr>
          <w:b/>
        </w:rPr>
      </w:pPr>
      <w:r>
        <w:rPr>
          <w:rFonts w:hint="eastAsia"/>
          <w:b/>
        </w:rPr>
        <w:t>（</w:t>
      </w:r>
      <w:r>
        <w:rPr>
          <w:b/>
        </w:rPr>
        <w:t>1</w:t>
      </w:r>
      <w:r>
        <w:rPr>
          <w:rFonts w:hint="eastAsia"/>
          <w:b/>
        </w:rPr>
        <w:t>）顶层设计、前期研究及专项规划缺乏</w:t>
      </w:r>
    </w:p>
    <w:p>
      <w:pPr>
        <w:ind w:firstLine="560"/>
      </w:pPr>
      <w:r>
        <w:rPr>
          <w:rFonts w:hint="eastAsia"/>
        </w:rPr>
        <w:t>目前云和县交通相关行业规划较少，能够收集到的只有《云和县道路运输“十二五”发展规划》、《云和县中心城区道路交通专项规划》、《云和县域总体规划》，这些规划中虽涉及到客运、货运、交通基础设施方面的内容，但因为多方面原因，实际内容较少，无法有效地指导道路运输业发展。由于缺乏顶层设计以及道路相关行业前期研究及合理的规划，导致现实中云和县道路运输基础设施建设、城市城乡客运班线设计等方面缺乏一些合理性和科学性，无法满足老百姓生活、生产的需要，同时也无法满足云和县社会经济发展需要。</w:t>
      </w:r>
    </w:p>
    <w:p>
      <w:pPr>
        <w:ind w:firstLine="0" w:firstLineChars="0"/>
        <w:rPr>
          <w:b/>
        </w:rPr>
      </w:pPr>
      <w:r>
        <w:rPr>
          <w:rFonts w:hint="eastAsia"/>
          <w:b/>
        </w:rPr>
        <w:t>（</w:t>
      </w:r>
      <w:r>
        <w:rPr>
          <w:b/>
        </w:rPr>
        <w:t>2</w:t>
      </w:r>
      <w:r>
        <w:rPr>
          <w:rFonts w:hint="eastAsia"/>
          <w:b/>
        </w:rPr>
        <w:t>）道路交通基础设施总体规模未能满足经济发展需要</w:t>
      </w:r>
    </w:p>
    <w:p>
      <w:pPr>
        <w:ind w:firstLine="560"/>
      </w:pPr>
      <w:r>
        <w:rPr>
          <w:rFonts w:hint="eastAsia"/>
        </w:rPr>
        <w:t>近几年云和县在交通基础设施建设方面取得了一些成效，但从云和县县域经济发展规模来看，现有的道路交通基础设施总体规模仍然很小，不能满足经济社会发展对交通运输增长的需要，主要表现在以下几个方面：</w:t>
      </w:r>
    </w:p>
    <w:p>
      <w:pPr>
        <w:ind w:firstLine="0" w:firstLineChars="0"/>
        <w:rPr>
          <w:b/>
        </w:rPr>
      </w:pPr>
      <w:r>
        <w:rPr>
          <w:b/>
        </w:rPr>
        <w:t>——</w:t>
      </w:r>
      <w:r>
        <w:rPr>
          <w:rFonts w:hint="eastAsia"/>
          <w:b/>
        </w:rPr>
        <w:t>客运</w:t>
      </w:r>
    </w:p>
    <w:p>
      <w:pPr>
        <w:ind w:firstLine="560"/>
      </w:pPr>
      <w:r>
        <w:rPr>
          <w:rFonts w:hint="eastAsia"/>
        </w:rPr>
        <w:t>随着云和县经济社会的快速发展，人民生活水平的不断提高，居民收入中用于衣着、娱乐和一些所谓的奢侈品项目（包括旅游）的支出比重不断增加，这势必造成居民出行次数的增加和私家车数量的增加，这也是造成城市拥堵的直接原因。虽然云和属于县级城市，但在早晚高峰期也出现了交通拥堵的现象。发展城市公共交通已经成为缓解城市交通拥堵，为居民公共社会公益服务的主要途径。目前，云和县公交站场设施十分落后，没有大型固定的公交车停保场，现有的公交车辆停放也是只零星停放各处，这十分不利于公交车辆的管理、调度，车辆停放在城市道路边，也不利于道路畅通和行人的安全。同时，县内港湾式停靠站建设相对滞后，县内主干道和几条较为拥挤道路都没有设立公交车港湾式停靠站，十分不利于公交车的停靠及保障乘客上下车的安全，容易造成城市道路的拥堵。</w:t>
      </w:r>
    </w:p>
    <w:p>
      <w:pPr>
        <w:ind w:firstLine="562"/>
        <w:rPr>
          <w:b/>
        </w:rPr>
      </w:pPr>
      <w:r>
        <w:rPr>
          <w:b/>
        </w:rPr>
        <w:t>——</w:t>
      </w:r>
      <w:r>
        <w:rPr>
          <w:rFonts w:hint="eastAsia"/>
          <w:b/>
        </w:rPr>
        <w:t>货运</w:t>
      </w:r>
    </w:p>
    <w:p>
      <w:pPr>
        <w:ind w:firstLine="560"/>
      </w:pPr>
      <w:r>
        <w:rPr>
          <w:rFonts w:hint="eastAsia"/>
        </w:rPr>
        <w:t>“十二五”期间，云和县在货运方面的基础设施建设处于刚刚起步阶段，目前还没有一个能够满足县内物流业发展需求和产业需求的物流中心以及货运站场。“十三五”云和县将大力发展木制玩具产业、金属加工产业、旅游业以及农林产品加工业，这些产业的发展必须要依托一个完整的物流系统，而物流中心和货运站是整个物流系统的重要组成部分。因此，物流基础设施的缺乏势必会造成产业结构的不畅通，影响物流效率，而影响到云和县社会经济的发展。</w:t>
      </w:r>
    </w:p>
    <w:p>
      <w:pPr>
        <w:ind w:firstLine="0" w:firstLineChars="0"/>
        <w:rPr>
          <w:b/>
        </w:rPr>
      </w:pPr>
      <w:r>
        <w:rPr>
          <w:rFonts w:hint="eastAsia"/>
          <w:b/>
        </w:rPr>
        <w:t>（</w:t>
      </w:r>
      <w:r>
        <w:rPr>
          <w:b/>
        </w:rPr>
        <w:t>3</w:t>
      </w:r>
      <w:r>
        <w:rPr>
          <w:rFonts w:hint="eastAsia"/>
          <w:b/>
        </w:rPr>
        <w:t>）道路运输管理队伍有待充实</w:t>
      </w:r>
    </w:p>
    <w:p>
      <w:pPr>
        <w:ind w:firstLine="560"/>
      </w:pPr>
      <w:r>
        <w:rPr>
          <w:rFonts w:hint="eastAsia"/>
        </w:rPr>
        <w:t>截止到</w:t>
      </w:r>
      <w:r>
        <w:t>2015</w:t>
      </w:r>
      <w:r>
        <w:rPr>
          <w:rFonts w:hint="eastAsia"/>
        </w:rPr>
        <w:t>年，云和县道路运输管理队伍拥有21人，从年龄结构来看，管理队伍中35岁及以下7人，36-40岁1人，41-45岁2人，46-50岁</w:t>
      </w:r>
      <w:r>
        <w:t>8</w:t>
      </w:r>
      <w:r>
        <w:rPr>
          <w:rFonts w:hint="eastAsia"/>
        </w:rPr>
        <w:t>人，51岁及以上3人，其中</w:t>
      </w:r>
      <w:r>
        <w:t>45</w:t>
      </w:r>
      <w:r>
        <w:rPr>
          <w:rFonts w:hint="eastAsia"/>
        </w:rPr>
        <w:t>岁以上人员有11人，占到总人数52%。从管理人员的学历结构来看，拥有大学本科以上学历10人，大专学历11人，大专学历人员占总人数52%。按照交通运输部对运管机构每百台车定一人，每百站（场）定三人的设想，运管队伍应是一支精干高效的队伍。由于近几年运管行政管理体制改革的开展，云和县运管人员编制</w:t>
      </w:r>
      <w:bookmarkStart w:id="97" w:name="_GoBack"/>
      <w:bookmarkEnd w:id="97"/>
      <w:r>
        <w:rPr>
          <w:rFonts w:hint="eastAsia"/>
        </w:rPr>
        <w:t>十多年来没有增加，但行政管理范围在这十几年中不断细化和扩大，导致县运管机构人员与业务出现不平衡现象，同时，运管人员存在年龄老化、全日制毕业人员少、文化素质较低，业务能力和服务意识有待进一步提高等现象。此外，随着现代管理手段的不断创新，以及新设备、新技术的推广应用，传统的管理方式已经不能满足未来道路运输行业管理的需求，而是需要更多高技能、专业化的人员对道路运输行业进行有效的管理。</w:t>
      </w:r>
    </w:p>
    <w:p>
      <w:pPr>
        <w:ind w:firstLine="0" w:firstLineChars="0"/>
        <w:rPr>
          <w:b/>
        </w:rPr>
      </w:pPr>
      <w:r>
        <w:rPr>
          <w:rFonts w:hint="eastAsia"/>
          <w:b/>
        </w:rPr>
        <w:t>（</w:t>
      </w:r>
      <w:r>
        <w:rPr>
          <w:b/>
        </w:rPr>
        <w:t>4</w:t>
      </w:r>
      <w:r>
        <w:rPr>
          <w:rFonts w:hint="eastAsia"/>
          <w:b/>
        </w:rPr>
        <w:t>）道路运输信息化水平仍比较落后</w:t>
      </w:r>
    </w:p>
    <w:p>
      <w:pPr>
        <w:ind w:firstLine="560"/>
      </w:pPr>
      <w:r>
        <w:rPr>
          <w:rFonts w:hint="eastAsia"/>
        </w:rPr>
        <w:t>随着信息化应用逐步覆盖和深入到客运、货运、维修、驾培、执法、安全等业务领域，信息化的地位和作用正逐步得到加强和重视。“十二五”期间，云和县道路运输管理部门已经在信息化方面有所投入，但与现代化管理要求还有一定距离。虽然云和县已建立了信息（指挥）中心实现了客运业户、营运车辆、从业人员等基础信息以及客运企业的信息查询。但在很多领域并没有实现信息的共享，为居民的生活、生产提供便利。此外，由于信息化资金投入有限，云和县信息化装备仍然十分落后。例如客运车辆实时视频的安装率还不高，城市客运班线信息化装备仍比较落后。在信息化管理手段方面，云和县道路运输领域发展也比较滞后。随着道路运输管理内容的增加以及“互联网＋”时代的到来，现有的管理方式必须得到创新，不能仅仅依靠道路运输管理人员的增加满足管理的需求，而是需要用先进的信息化管理手段来弥补传统管理方式上的不足。现代化运输信息管理水平和智能运输水平低，综合性运输组织管理信息化、网络化系统尚未形成，行业整体科技含量较低；道路运输管理信息化程度低，信息化基础设施建设不足，网络的覆盖范围不够，远不能支持云和县社会经济发展对道路运输提出的畅通、安全、便捷的需求。</w:t>
      </w:r>
    </w:p>
    <w:p>
      <w:pPr>
        <w:ind w:firstLine="0" w:firstLineChars="0"/>
        <w:rPr>
          <w:b/>
        </w:rPr>
      </w:pPr>
      <w:r>
        <w:rPr>
          <w:rFonts w:hint="eastAsia"/>
          <w:b/>
        </w:rPr>
        <w:t>（</w:t>
      </w:r>
      <w:r>
        <w:rPr>
          <w:b/>
        </w:rPr>
        <w:t>5</w:t>
      </w:r>
      <w:r>
        <w:rPr>
          <w:rFonts w:hint="eastAsia"/>
          <w:b/>
        </w:rPr>
        <w:t>）道路运输服务能力有待提高</w:t>
      </w:r>
    </w:p>
    <w:p>
      <w:pPr>
        <w:ind w:firstLine="560"/>
      </w:pPr>
      <w:r>
        <w:rPr>
          <w:rFonts w:hint="eastAsia"/>
        </w:rPr>
        <w:t>截止到</w:t>
      </w:r>
      <w:r>
        <w:t>201</w:t>
      </w:r>
      <w:r>
        <w:rPr>
          <w:rFonts w:hint="eastAsia"/>
        </w:rPr>
        <w:t>5年底，云和县城市客运班线车辆16辆，主要是以11-13座为主的城市公交车型。城乡客运营运班车辆54辆，主要是以小型车型为主。</w:t>
      </w:r>
      <w:r>
        <w:t>201</w:t>
      </w:r>
      <w:r>
        <w:rPr>
          <w:rFonts w:hint="eastAsia"/>
        </w:rPr>
        <w:t>5年完成旅客运输量</w:t>
      </w:r>
      <w:r>
        <w:t>17</w:t>
      </w:r>
      <w:r>
        <w:rPr>
          <w:rFonts w:hint="eastAsia"/>
        </w:rPr>
        <w:t>3万人次。</w:t>
      </w:r>
      <w:r>
        <w:t>201</w:t>
      </w:r>
      <w:r>
        <w:rPr>
          <w:rFonts w:hint="eastAsia"/>
        </w:rPr>
        <w:t>5年底从事货运营运车辆共计581辆，根据统计报表数据显示</w:t>
      </w:r>
      <w:r>
        <w:t>201</w:t>
      </w:r>
      <w:r>
        <w:rPr>
          <w:rFonts w:hint="eastAsia"/>
        </w:rPr>
        <w:t>5年完成货运量</w:t>
      </w:r>
      <w:r>
        <w:t>18</w:t>
      </w:r>
      <w:r>
        <w:rPr>
          <w:rFonts w:hint="eastAsia"/>
        </w:rPr>
        <w:t>6万吨。</w:t>
      </w:r>
    </w:p>
    <w:p>
      <w:pPr>
        <w:ind w:firstLine="560"/>
      </w:pPr>
      <w:r>
        <w:rPr>
          <w:rFonts w:hint="eastAsia"/>
        </w:rPr>
        <w:t>近年来，随着居民生活水平不断提高，云和县私家车车数量也呈现迅速增长的趋势。根据统计分析，截止到</w:t>
      </w:r>
      <w:r>
        <w:t>201</w:t>
      </w:r>
      <w:r>
        <w:rPr>
          <w:rFonts w:hint="eastAsia"/>
        </w:rPr>
        <w:t>5年末，云和县私家车数量已经达到14286辆，较上年增长9.68％。</w:t>
      </w:r>
      <w:r>
        <w:t>201</w:t>
      </w:r>
      <w:r>
        <w:rPr>
          <w:rFonts w:hint="eastAsia"/>
        </w:rPr>
        <w:t>5年底，云和县共有机动车维修厂（店）83家，其中：一类维修</w:t>
      </w:r>
      <w:r>
        <w:t>1</w:t>
      </w:r>
      <w:r>
        <w:rPr>
          <w:rFonts w:hint="eastAsia"/>
        </w:rPr>
        <w:t>家、二类维修</w:t>
      </w:r>
      <w:r>
        <w:t>10</w:t>
      </w:r>
      <w:r>
        <w:rPr>
          <w:rFonts w:hint="eastAsia"/>
        </w:rPr>
        <w:t>家、专项维修</w:t>
      </w:r>
      <w:r>
        <w:t>4</w:t>
      </w:r>
      <w:r>
        <w:rPr>
          <w:rFonts w:hint="eastAsia"/>
        </w:rPr>
        <w:t>8家、摩托车维修</w:t>
      </w:r>
      <w:r>
        <w:t>24</w:t>
      </w:r>
      <w:r>
        <w:rPr>
          <w:rFonts w:hint="eastAsia"/>
        </w:rPr>
        <w:t>家，全县持证从事机动车维修人员323人。在这样一个机动车大爆炸式发展时期，云和县却没有一家综合型车辆维修机构，特别是小汽车品牌的维修店。目前，云和县汽车维修行业规模小、分布散、技术力量弱，新车、中高端汽车维修保养大部分到丽水等地品牌店进行维修。这一系列问题的存在都已经不适应云和县社会经济持续、健康、稳定的发展。</w:t>
      </w:r>
    </w:p>
    <w:p>
      <w:pPr>
        <w:ind w:firstLine="185" w:firstLineChars="66"/>
        <w:rPr>
          <w:b/>
        </w:rPr>
      </w:pPr>
      <w:r>
        <w:rPr>
          <w:rFonts w:hint="eastAsia"/>
          <w:b/>
        </w:rPr>
        <w:t>（</w:t>
      </w:r>
      <w:r>
        <w:rPr>
          <w:b/>
        </w:rPr>
        <w:t>6</w:t>
      </w:r>
      <w:r>
        <w:rPr>
          <w:rFonts w:hint="eastAsia"/>
          <w:b/>
        </w:rPr>
        <w:t>）道路运输企业规模化程度较低，服务效率不高</w:t>
      </w:r>
    </w:p>
    <w:p>
      <w:pPr>
        <w:ind w:firstLine="560"/>
      </w:pPr>
      <w:r>
        <w:rPr>
          <w:rFonts w:hint="eastAsia"/>
        </w:rPr>
        <w:t>目前，云和县道路运输企业仍普遍存在散、弱、小的现象，运输组织集约化、规模化程度较低，服务效率，水平不高，缺乏能够代表行业良好形象、引领行业集约发展的龙头企业。长期以来挂靠经营的模式普遍存在，运输企业在结构调整中，很难有效实施企业资本结构调整，企业在资本运营中未能实现真正意义上的“做大做强”。</w:t>
      </w:r>
    </w:p>
    <w:p>
      <w:pPr>
        <w:ind w:firstLine="0" w:firstLineChars="0"/>
        <w:rPr>
          <w:b/>
        </w:rPr>
      </w:pPr>
      <w:r>
        <w:rPr>
          <w:rFonts w:hint="eastAsia"/>
          <w:b/>
        </w:rPr>
        <w:t>（</w:t>
      </w:r>
      <w:r>
        <w:rPr>
          <w:b/>
        </w:rPr>
        <w:t>7</w:t>
      </w:r>
      <w:r>
        <w:rPr>
          <w:rFonts w:hint="eastAsia"/>
          <w:b/>
        </w:rPr>
        <w:t>）城市公共交通分担率仍处于较低水平</w:t>
      </w:r>
    </w:p>
    <w:p>
      <w:pPr>
        <w:ind w:firstLine="560"/>
      </w:pPr>
      <w:r>
        <w:rPr>
          <w:rFonts w:hint="eastAsia"/>
        </w:rPr>
        <w:t>自</w:t>
      </w:r>
      <w:r>
        <w:t>2013</w:t>
      </w:r>
      <w:r>
        <w:rPr>
          <w:rFonts w:hint="eastAsia"/>
        </w:rPr>
        <w:t>年浙江省开始城市拥堵治理工作以来，每年对各地市公交分担率进行统计考核。到</w:t>
      </w:r>
      <w:r>
        <w:t>201</w:t>
      </w:r>
      <w:r>
        <w:rPr>
          <w:rFonts w:hint="eastAsia"/>
        </w:rPr>
        <w:t>5年底，云和县城市公共交通分担率仅达到5.1％，相对来说，云和县公交分担率还处于一个较低的水平。目前云和县城市公共交通体系已经基本形成，城市公共交通主要由公交车、公共自行车和出租车三部分构成。但根据现实调查，云和县居民出行仍以电瓶车和摩托车为主要交通方式。根据数据统计，</w:t>
      </w:r>
      <w:r>
        <w:t>201</w:t>
      </w:r>
      <w:r>
        <w:rPr>
          <w:rFonts w:hint="eastAsia"/>
        </w:rPr>
        <w:t>5年底，云和县电瓶车数量已达到49481辆，按照</w:t>
      </w:r>
      <w:r>
        <w:t>201</w:t>
      </w:r>
      <w:r>
        <w:rPr>
          <w:rFonts w:hint="eastAsia"/>
        </w:rPr>
        <w:t>5年人口数量计算，人均电瓶车保有量已达到0.437辆。这种交通方式的选择主要是因为居民的出行习惯以及城市规模所决定的。但过多的电瓶车和摩托车既不利于道路安全，也不利于低碳环保的城市发展需要。</w:t>
      </w:r>
    </w:p>
    <w:p>
      <w:pPr>
        <w:ind w:firstLine="0" w:firstLineChars="0"/>
        <w:rPr>
          <w:b/>
        </w:rPr>
      </w:pPr>
      <w:r>
        <w:rPr>
          <w:rFonts w:hint="eastAsia"/>
          <w:b/>
        </w:rPr>
        <w:t>（</w:t>
      </w:r>
      <w:r>
        <w:rPr>
          <w:b/>
        </w:rPr>
        <w:t>8</w:t>
      </w:r>
      <w:r>
        <w:rPr>
          <w:rFonts w:hint="eastAsia"/>
          <w:b/>
        </w:rPr>
        <w:t>）出租车服务满意度不高</w:t>
      </w:r>
    </w:p>
    <w:p>
      <w:pPr>
        <w:ind w:firstLine="560"/>
      </w:pPr>
      <w:r>
        <w:rPr>
          <w:rFonts w:hint="eastAsia"/>
        </w:rPr>
        <w:t>根据对云和公交车、出租车、公共自行车的调查，云和居民对县域公共交通服务满意度总体不高，特别是对出租车居民普遍认为不满意。由于缺乏对出租车驾驶员的有效管理导致云和县大部分出租车都存在违规经营的现象，出租车驾驶员主要从事跨区域云和到丽水的短途客运，导致了居民在云和县城打不到出租车的问题。</w:t>
      </w:r>
    </w:p>
    <w:p>
      <w:pPr>
        <w:ind w:firstLine="560"/>
      </w:pPr>
    </w:p>
    <w:p>
      <w:pPr>
        <w:ind w:firstLine="560"/>
      </w:pPr>
    </w:p>
    <w:p>
      <w:pPr>
        <w:widowControl/>
        <w:spacing w:line="240" w:lineRule="auto"/>
        <w:ind w:firstLine="0" w:firstLineChars="0"/>
        <w:jc w:val="left"/>
      </w:pPr>
      <w:r>
        <w:br w:type="page"/>
      </w:r>
    </w:p>
    <w:p>
      <w:pPr>
        <w:pStyle w:val="2"/>
        <w:spacing w:after="190"/>
        <w:rPr>
          <w:b w:val="0"/>
          <w:kern w:val="0"/>
          <w:sz w:val="28"/>
          <w:szCs w:val="20"/>
        </w:rPr>
      </w:pPr>
      <w:bookmarkStart w:id="24" w:name="_Toc340220196"/>
      <w:bookmarkStart w:id="25" w:name="_Toc317843279"/>
      <w:r>
        <w:rPr>
          <w:rFonts w:hint="eastAsia"/>
        </w:rPr>
        <w:t>第三章新形势下云和县道路运输发展新要求</w:t>
      </w:r>
      <w:bookmarkEnd w:id="24"/>
      <w:bookmarkEnd w:id="25"/>
    </w:p>
    <w:p>
      <w:pPr>
        <w:pStyle w:val="3"/>
        <w:snapToGrid w:val="0"/>
        <w:spacing w:before="190" w:after="190" w:line="240" w:lineRule="auto"/>
      </w:pPr>
      <w:bookmarkStart w:id="26" w:name="_Toc317843280"/>
      <w:bookmarkStart w:id="27" w:name="_Toc340220197"/>
      <w:r>
        <w:t>3.1</w:t>
      </w:r>
      <w:r>
        <w:rPr>
          <w:rFonts w:hint="eastAsia"/>
        </w:rPr>
        <w:t>面临的宏观发展形势对运输服务提出的新要求</w:t>
      </w:r>
      <w:bookmarkEnd w:id="26"/>
      <w:bookmarkEnd w:id="27"/>
    </w:p>
    <w:p>
      <w:pPr>
        <w:ind w:firstLine="0" w:firstLineChars="0"/>
        <w:rPr>
          <w:b/>
        </w:rPr>
      </w:pPr>
      <w:r>
        <w:rPr>
          <w:rFonts w:hint="eastAsia"/>
          <w:b/>
        </w:rPr>
        <w:t>（</w:t>
      </w:r>
      <w:r>
        <w:rPr>
          <w:b/>
        </w:rPr>
        <w:t>1</w:t>
      </w:r>
      <w:r>
        <w:rPr>
          <w:rFonts w:hint="eastAsia"/>
          <w:b/>
        </w:rPr>
        <w:t>）产业转型升级对道路运输发展提出了新要求</w:t>
      </w:r>
    </w:p>
    <w:p>
      <w:pPr>
        <w:ind w:firstLine="560"/>
      </w:pPr>
      <w:r>
        <w:rPr>
          <w:rFonts w:hint="eastAsia"/>
        </w:rPr>
        <w:t>云和县已初步形成了第一产业以食用菌、茶叶、水干果为主导，第二产业以木制玩具、轴承、阀门为主导，第三产业以生态旅游、商贸物流、</w:t>
      </w:r>
      <w:r>
        <w:t>电子商务</w:t>
      </w:r>
      <w:r>
        <w:rPr>
          <w:rFonts w:hint="eastAsia"/>
        </w:rPr>
        <w:t>为主导的产业体系，对应货物远销全国乃至全世界。“十三五”是全县强化创新驱动，完成新旧发展动力转换，优化经济结构，全面提升产业竞争力的关键时期。云和县将依托全县资源优势，重点打造生态旅游、商贸物流两大产业。这两大产业的发展必然对云和道路运输发展提出了更多、更高的新要求。如何提高道路运输为社会经济发展的服务水平已经成为“十三五”时期亟需解决的问题。此外，随着居民生活水平的不断提高，居民以往出行方式、出行时段、出行目的单一化的客运市场格局发生了根本性的改变。道路运输应进一步发挥</w:t>
      </w:r>
      <w:r>
        <w:t>“</w:t>
      </w:r>
      <w:r>
        <w:rPr>
          <w:rFonts w:hint="eastAsia"/>
        </w:rPr>
        <w:t>门到门</w:t>
      </w:r>
      <w:r>
        <w:t>”</w:t>
      </w:r>
      <w:r>
        <w:rPr>
          <w:rFonts w:hint="eastAsia"/>
        </w:rPr>
        <w:t>的服务优势，在交通站场、道路网、物流园区、客运服务等多方面不断提高以适应经济发展在道路货运、客运中提出的多元化需求。</w:t>
      </w:r>
    </w:p>
    <w:p>
      <w:pPr>
        <w:ind w:firstLine="560"/>
      </w:pPr>
      <w:r>
        <w:rPr>
          <w:rFonts w:hint="eastAsia"/>
        </w:rPr>
        <w:t>云和县深入贯彻浙江省“</w:t>
      </w:r>
      <w:r>
        <w:t>5411</w:t>
      </w:r>
      <w:r>
        <w:rPr>
          <w:rFonts w:hint="eastAsia"/>
        </w:rPr>
        <w:t>”重大项目，秉持“绿水青山就是金山银山”的发展理念，坚持绿色生态工业发展，通过招商引资等举措，打好“四换三名”、“两化”融合等转型升级组合拳，着力提升企业发展层次。今后云和县政府将继续做好“云和梯田”、“云和湖仙宫”两大景区的品质提升，尽快建设云和湖休闲养生等</w:t>
      </w:r>
      <w:r>
        <w:t>3</w:t>
      </w:r>
      <w:r>
        <w:rPr>
          <w:rFonts w:hint="eastAsia"/>
        </w:rPr>
        <w:t>条精品旅游路线。利用丰富而优质的旅游资源加快产业经济转型必须要有高效的旅客运输系统作为支撑，这也对云和县旅游运输提出了更高的要求。</w:t>
      </w:r>
    </w:p>
    <w:p>
      <w:pPr>
        <w:ind w:firstLine="560"/>
      </w:pPr>
      <w:r>
        <w:rPr>
          <w:rFonts w:hint="eastAsia"/>
        </w:rPr>
        <w:t>在传统产业转型升级方面则集中整治木制玩具“低、小、散、乱”的问题，建设木制玩具小微型企业产业园，组建全省首个出口木制玩具公共服务检测平台。同时，加快发展现代服务业，着手打造</w:t>
      </w:r>
      <w:r>
        <w:t>“</w:t>
      </w:r>
      <w:r>
        <w:rPr>
          <w:rFonts w:hint="eastAsia"/>
        </w:rPr>
        <w:t>云和木玩产业带</w:t>
      </w:r>
      <w:r>
        <w:t>”</w:t>
      </w:r>
      <w:r>
        <w:rPr>
          <w:rFonts w:hint="eastAsia"/>
        </w:rPr>
        <w:t>，建成全市首个跨境电子商务培训合作基地，该基地成功入选阿里巴巴“中国电商百佳县”排行榜，列全国第</w:t>
      </w:r>
      <w:r>
        <w:t>27</w:t>
      </w:r>
      <w:r>
        <w:rPr>
          <w:rFonts w:hint="eastAsia"/>
        </w:rPr>
        <w:t>位、全市第</w:t>
      </w:r>
      <w:r>
        <w:t>1</w:t>
      </w:r>
      <w:r>
        <w:rPr>
          <w:rFonts w:hint="eastAsia"/>
        </w:rPr>
        <w:t>位。此外，云和县积极引导轴承产业提高质量，推动阀门产业向精加工转型，鼓励企业积极应用新材料、新技术和新工艺，注重生产节能减排，减低污染。同时，重视企业的技术研发和品牌建设，推进企业产品升级，降低单位工业增加值能耗，提升产品科技附加值，从而提升市场竞争力。</w:t>
      </w:r>
    </w:p>
    <w:p>
      <w:pPr>
        <w:ind w:firstLine="560"/>
      </w:pPr>
      <w:r>
        <w:rPr>
          <w:rFonts w:hint="eastAsia"/>
        </w:rPr>
        <w:t>为此，“十三五”期间，云和县道路运输的基础设施规划、建设，融合交通运输业、仓储业、货代业和信息业于一体的现代物流业的规划、建设，道路运输服务等各方面需适应云和的旅游产业发展、传统工业转型升级的需要。</w:t>
      </w:r>
    </w:p>
    <w:p>
      <w:pPr>
        <w:ind w:firstLine="0" w:firstLineChars="0"/>
        <w:rPr>
          <w:b/>
        </w:rPr>
      </w:pPr>
      <w:r>
        <w:rPr>
          <w:rFonts w:hint="eastAsia"/>
          <w:b/>
        </w:rPr>
        <w:t>（</w:t>
      </w:r>
      <w:r>
        <w:rPr>
          <w:b/>
        </w:rPr>
        <w:t>2</w:t>
      </w:r>
      <w:r>
        <w:rPr>
          <w:rFonts w:hint="eastAsia"/>
          <w:b/>
        </w:rPr>
        <w:t>）新型城镇化和城乡一体化建设推动道路运输行业快速发展</w:t>
      </w:r>
    </w:p>
    <w:p>
      <w:pPr>
        <w:ind w:firstLine="560"/>
      </w:pPr>
      <w:r>
        <w:rPr>
          <w:rFonts w:hint="eastAsia"/>
        </w:rPr>
        <w:t>根据数据统计2010-2015年云和县城镇人口保持稳定增长，截止到2015年底，全县总人口达到113271人，较2010年增长0.43％，其中非农业人口增长较快。而随着城市化进程的快速推进，农业人口在2014年后呈现小幅下降，但从全县人口结构来看，云和县人口结构仍以农业人口为主，因此，解决农村人口交通出行问题成为“十三五”期间云和县道路运输发展的重点。</w:t>
      </w:r>
    </w:p>
    <w:p>
      <w:pPr>
        <w:ind w:firstLine="560"/>
      </w:pPr>
    </w:p>
    <w:p>
      <w:pPr>
        <w:pStyle w:val="60"/>
      </w:pPr>
      <w:r>
        <w:rPr>
          <w:rFonts w:hint="eastAsia"/>
        </w:rPr>
        <w:t>表</w:t>
      </w:r>
      <w:r>
        <w:t>3-1201</w:t>
      </w:r>
      <w:r>
        <w:rPr>
          <w:rFonts w:hint="eastAsia"/>
        </w:rPr>
        <w:t>0</w:t>
      </w:r>
      <w:r>
        <w:t>-201</w:t>
      </w:r>
      <w:r>
        <w:rPr>
          <w:rFonts w:hint="eastAsia"/>
        </w:rPr>
        <w:t>5年云和县人口结构情况（人）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170"/>
        <w:gridCol w:w="217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828" w:type="dxa"/>
            <w:shd w:val="clear" w:color="auto" w:fill="D8D8D8" w:themeFill="background1" w:themeFillShade="D9"/>
            <w:vAlign w:val="center"/>
          </w:tcPr>
          <w:p>
            <w:pPr>
              <w:pStyle w:val="41"/>
              <w:rPr>
                <w:b/>
                <w:bCs/>
                <w:sz w:val="24"/>
              </w:rPr>
            </w:pPr>
            <w:r>
              <w:rPr>
                <w:rFonts w:hint="eastAsia"/>
                <w:b/>
                <w:bCs/>
                <w:sz w:val="24"/>
              </w:rPr>
              <w:t>年份</w:t>
            </w:r>
          </w:p>
        </w:tc>
        <w:tc>
          <w:tcPr>
            <w:tcW w:w="2170" w:type="dxa"/>
            <w:shd w:val="clear" w:color="auto" w:fill="D8D8D8" w:themeFill="background1" w:themeFillShade="D9"/>
            <w:vAlign w:val="center"/>
          </w:tcPr>
          <w:p>
            <w:pPr>
              <w:pStyle w:val="41"/>
              <w:rPr>
                <w:b/>
                <w:bCs/>
                <w:sz w:val="24"/>
              </w:rPr>
            </w:pPr>
            <w:r>
              <w:rPr>
                <w:rFonts w:hint="eastAsia"/>
                <w:b/>
                <w:bCs/>
                <w:sz w:val="24"/>
              </w:rPr>
              <w:t>总人口</w:t>
            </w:r>
          </w:p>
        </w:tc>
        <w:tc>
          <w:tcPr>
            <w:tcW w:w="2170" w:type="dxa"/>
            <w:shd w:val="clear" w:color="auto" w:fill="D8D8D8" w:themeFill="background1" w:themeFillShade="D9"/>
            <w:vAlign w:val="center"/>
          </w:tcPr>
          <w:p>
            <w:pPr>
              <w:pStyle w:val="41"/>
              <w:rPr>
                <w:b/>
                <w:bCs/>
                <w:sz w:val="24"/>
              </w:rPr>
            </w:pPr>
            <w:r>
              <w:rPr>
                <w:rFonts w:hint="eastAsia"/>
                <w:b/>
                <w:bCs/>
                <w:sz w:val="24"/>
              </w:rPr>
              <w:t>非农业人口</w:t>
            </w:r>
          </w:p>
        </w:tc>
        <w:tc>
          <w:tcPr>
            <w:tcW w:w="1707" w:type="dxa"/>
            <w:shd w:val="clear" w:color="auto" w:fill="D8D8D8" w:themeFill="background1" w:themeFillShade="D9"/>
            <w:vAlign w:val="center"/>
          </w:tcPr>
          <w:p>
            <w:pPr>
              <w:pStyle w:val="41"/>
              <w:rPr>
                <w:b/>
                <w:bCs/>
                <w:sz w:val="24"/>
              </w:rPr>
            </w:pPr>
            <w:r>
              <w:rPr>
                <w:rFonts w:hint="eastAsia"/>
                <w:b/>
                <w:bCs/>
                <w:sz w:val="24"/>
              </w:rPr>
              <w:t>农业人口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rFonts w:hint="eastAsia"/>
                <w:bCs/>
              </w:rPr>
              <w:t>2010</w:t>
            </w:r>
          </w:p>
        </w:tc>
        <w:tc>
          <w:tcPr>
            <w:tcW w:w="2170" w:type="dxa"/>
            <w:vAlign w:val="center"/>
          </w:tcPr>
          <w:p>
            <w:pPr>
              <w:pStyle w:val="41"/>
              <w:rPr>
                <w:bCs/>
              </w:rPr>
            </w:pPr>
            <w:r>
              <w:rPr>
                <w:rFonts w:hint="eastAsia"/>
                <w:bCs/>
              </w:rPr>
              <w:t>112785</w:t>
            </w:r>
          </w:p>
        </w:tc>
        <w:tc>
          <w:tcPr>
            <w:tcW w:w="2170" w:type="dxa"/>
            <w:vAlign w:val="center"/>
          </w:tcPr>
          <w:p>
            <w:pPr>
              <w:pStyle w:val="41"/>
              <w:rPr>
                <w:bCs/>
              </w:rPr>
            </w:pPr>
            <w:r>
              <w:rPr>
                <w:rFonts w:hint="eastAsia"/>
                <w:bCs/>
              </w:rPr>
              <w:t>20823</w:t>
            </w:r>
          </w:p>
        </w:tc>
        <w:tc>
          <w:tcPr>
            <w:tcW w:w="1707" w:type="dxa"/>
            <w:vAlign w:val="center"/>
          </w:tcPr>
          <w:p>
            <w:pPr>
              <w:pStyle w:val="41"/>
              <w:rPr>
                <w:bCs/>
              </w:rPr>
            </w:pPr>
            <w:r>
              <w:rPr>
                <w:rFonts w:hint="eastAsia"/>
                <w:bCs/>
              </w:rPr>
              <w:t>91962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bCs/>
              </w:rPr>
              <w:t>2011</w:t>
            </w:r>
          </w:p>
        </w:tc>
        <w:tc>
          <w:tcPr>
            <w:tcW w:w="2170" w:type="dxa"/>
            <w:vAlign w:val="center"/>
          </w:tcPr>
          <w:p>
            <w:pPr>
              <w:pStyle w:val="41"/>
              <w:rPr>
                <w:bCs/>
              </w:rPr>
            </w:pPr>
            <w:r>
              <w:rPr>
                <w:bCs/>
              </w:rPr>
              <w:t>113460</w:t>
            </w:r>
          </w:p>
        </w:tc>
        <w:tc>
          <w:tcPr>
            <w:tcW w:w="2170" w:type="dxa"/>
            <w:vAlign w:val="center"/>
          </w:tcPr>
          <w:p>
            <w:pPr>
              <w:pStyle w:val="41"/>
              <w:rPr>
                <w:bCs/>
              </w:rPr>
            </w:pPr>
            <w:r>
              <w:rPr>
                <w:bCs/>
              </w:rPr>
              <w:t>20606</w:t>
            </w:r>
          </w:p>
        </w:tc>
        <w:tc>
          <w:tcPr>
            <w:tcW w:w="1707" w:type="dxa"/>
            <w:vAlign w:val="center"/>
          </w:tcPr>
          <w:p>
            <w:pPr>
              <w:pStyle w:val="41"/>
              <w:rPr>
                <w:bCs/>
              </w:rPr>
            </w:pPr>
            <w:r>
              <w:rPr>
                <w:bCs/>
              </w:rPr>
              <w:t>92854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bCs/>
              </w:rPr>
              <w:t>2012</w:t>
            </w:r>
          </w:p>
        </w:tc>
        <w:tc>
          <w:tcPr>
            <w:tcW w:w="2170" w:type="dxa"/>
            <w:vAlign w:val="center"/>
          </w:tcPr>
          <w:p>
            <w:pPr>
              <w:pStyle w:val="41"/>
              <w:rPr>
                <w:bCs/>
              </w:rPr>
            </w:pPr>
            <w:r>
              <w:rPr>
                <w:bCs/>
              </w:rPr>
              <w:t>113469</w:t>
            </w:r>
          </w:p>
        </w:tc>
        <w:tc>
          <w:tcPr>
            <w:tcW w:w="2170" w:type="dxa"/>
            <w:vAlign w:val="center"/>
          </w:tcPr>
          <w:p>
            <w:pPr>
              <w:pStyle w:val="41"/>
              <w:rPr>
                <w:bCs/>
              </w:rPr>
            </w:pPr>
            <w:r>
              <w:rPr>
                <w:bCs/>
              </w:rPr>
              <w:t>20289</w:t>
            </w:r>
          </w:p>
        </w:tc>
        <w:tc>
          <w:tcPr>
            <w:tcW w:w="1707" w:type="dxa"/>
            <w:vAlign w:val="center"/>
          </w:tcPr>
          <w:p>
            <w:pPr>
              <w:pStyle w:val="41"/>
              <w:rPr>
                <w:bCs/>
              </w:rPr>
            </w:pPr>
            <w:r>
              <w:rPr>
                <w:bCs/>
              </w:rPr>
              <w:t>93180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bCs/>
              </w:rPr>
              <w:t>2013</w:t>
            </w:r>
          </w:p>
        </w:tc>
        <w:tc>
          <w:tcPr>
            <w:tcW w:w="2170" w:type="dxa"/>
            <w:vAlign w:val="center"/>
          </w:tcPr>
          <w:p>
            <w:pPr>
              <w:pStyle w:val="41"/>
              <w:rPr>
                <w:bCs/>
              </w:rPr>
            </w:pPr>
            <w:r>
              <w:rPr>
                <w:bCs/>
              </w:rPr>
              <w:t>113530</w:t>
            </w:r>
          </w:p>
        </w:tc>
        <w:tc>
          <w:tcPr>
            <w:tcW w:w="2170" w:type="dxa"/>
            <w:vAlign w:val="center"/>
          </w:tcPr>
          <w:p>
            <w:pPr>
              <w:pStyle w:val="41"/>
              <w:rPr>
                <w:bCs/>
              </w:rPr>
            </w:pPr>
            <w:r>
              <w:rPr>
                <w:bCs/>
              </w:rPr>
              <w:t>20264</w:t>
            </w:r>
          </w:p>
        </w:tc>
        <w:tc>
          <w:tcPr>
            <w:tcW w:w="1707" w:type="dxa"/>
            <w:vAlign w:val="center"/>
          </w:tcPr>
          <w:p>
            <w:pPr>
              <w:pStyle w:val="41"/>
              <w:rPr>
                <w:bCs/>
              </w:rPr>
            </w:pPr>
            <w:r>
              <w:rPr>
                <w:bCs/>
              </w:rPr>
              <w:t>93266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bCs/>
              </w:rPr>
              <w:t>2014</w:t>
            </w:r>
          </w:p>
        </w:tc>
        <w:tc>
          <w:tcPr>
            <w:tcW w:w="2170" w:type="dxa"/>
            <w:vAlign w:val="center"/>
          </w:tcPr>
          <w:p>
            <w:pPr>
              <w:pStyle w:val="41"/>
              <w:rPr>
                <w:bCs/>
              </w:rPr>
            </w:pPr>
            <w:r>
              <w:rPr>
                <w:bCs/>
              </w:rPr>
              <w:t>113597</w:t>
            </w:r>
          </w:p>
        </w:tc>
        <w:tc>
          <w:tcPr>
            <w:tcW w:w="2170" w:type="dxa"/>
            <w:vAlign w:val="center"/>
          </w:tcPr>
          <w:p>
            <w:pPr>
              <w:pStyle w:val="41"/>
              <w:rPr>
                <w:bCs/>
              </w:rPr>
            </w:pPr>
            <w:r>
              <w:rPr>
                <w:bCs/>
              </w:rPr>
              <w:t>20971</w:t>
            </w:r>
          </w:p>
        </w:tc>
        <w:tc>
          <w:tcPr>
            <w:tcW w:w="1707" w:type="dxa"/>
            <w:vAlign w:val="center"/>
          </w:tcPr>
          <w:p>
            <w:pPr>
              <w:pStyle w:val="41"/>
              <w:rPr>
                <w:bCs/>
              </w:rPr>
            </w:pPr>
            <w:r>
              <w:rPr>
                <w:bCs/>
              </w:rPr>
              <w:t>92626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28" w:type="dxa"/>
            <w:vAlign w:val="center"/>
          </w:tcPr>
          <w:p>
            <w:pPr>
              <w:pStyle w:val="41"/>
              <w:rPr>
                <w:bCs/>
              </w:rPr>
            </w:pPr>
            <w:r>
              <w:rPr>
                <w:rFonts w:hint="eastAsia"/>
                <w:bCs/>
              </w:rPr>
              <w:t>2015</w:t>
            </w:r>
          </w:p>
        </w:tc>
        <w:tc>
          <w:tcPr>
            <w:tcW w:w="2170" w:type="dxa"/>
            <w:vAlign w:val="center"/>
          </w:tcPr>
          <w:p>
            <w:pPr>
              <w:pStyle w:val="41"/>
              <w:rPr>
                <w:bCs/>
              </w:rPr>
            </w:pPr>
            <w:r>
              <w:rPr>
                <w:rFonts w:hint="eastAsia"/>
                <w:bCs/>
              </w:rPr>
              <w:t>113271</w:t>
            </w:r>
          </w:p>
        </w:tc>
        <w:tc>
          <w:tcPr>
            <w:tcW w:w="2170" w:type="dxa"/>
            <w:vAlign w:val="center"/>
          </w:tcPr>
          <w:p>
            <w:pPr>
              <w:pStyle w:val="41"/>
              <w:rPr>
                <w:bCs/>
              </w:rPr>
            </w:pPr>
            <w:r>
              <w:rPr>
                <w:rFonts w:hint="eastAsia"/>
                <w:bCs/>
              </w:rPr>
              <w:t>46297</w:t>
            </w:r>
          </w:p>
        </w:tc>
        <w:tc>
          <w:tcPr>
            <w:tcW w:w="1707" w:type="dxa"/>
            <w:vAlign w:val="center"/>
          </w:tcPr>
          <w:p>
            <w:pPr>
              <w:pStyle w:val="41"/>
              <w:rPr>
                <w:bCs/>
              </w:rPr>
            </w:pPr>
            <w:r>
              <w:rPr>
                <w:rFonts w:hint="eastAsia"/>
                <w:bCs/>
              </w:rPr>
              <w:t>66974</w:t>
            </w:r>
          </w:p>
        </w:tc>
      </w:tr>
    </w:tbl>
    <w:p>
      <w:pPr>
        <w:ind w:firstLine="0" w:firstLineChars="0"/>
      </w:pPr>
      <w:r>
        <w:rPr>
          <w:rFonts w:hint="eastAsia"/>
        </w:rPr>
        <w:t>随着社会经济的发展和云和新农村的建设，在道路货运方面对农村路网的完善程度提出了更高的要求，只有路网通达才能有助于农民将香菇、木耳、雪梨、板栗、新鲜高山蔬菜等农产品输送至全国各地。同时，在“互联网</w:t>
      </w:r>
      <w:r>
        <w:t>+</w:t>
      </w:r>
      <w:r>
        <w:rPr>
          <w:rFonts w:hint="eastAsia"/>
        </w:rPr>
        <w:t>”的时代，网络购物也成为了千千万万农村家庭的消费形式，目前，农村物流的欠发达成为这一趋势进一步快速发展的瓶颈。农村物联网的构建主要依托城市路网建设，为此如何进一步加强农村路网建设，解决农村物流配送“最后一公里”问题，加快其农村物流业的发展将是下一步道路运输发展面临的新问题。在客运方面，在</w:t>
      </w:r>
      <w:r>
        <w:t>“</w:t>
      </w:r>
      <w:r>
        <w:rPr>
          <w:rFonts w:hint="eastAsia"/>
        </w:rPr>
        <w:t>美丽乡村</w:t>
      </w:r>
      <w:r>
        <w:t>”</w:t>
      </w:r>
      <w:r>
        <w:rPr>
          <w:rFonts w:hint="eastAsia"/>
        </w:rPr>
        <w:t>建设和城乡一体化的推进下，外来游客增多</w:t>
      </w:r>
      <w:r>
        <w:t>,</w:t>
      </w:r>
      <w:r>
        <w:rPr>
          <w:rFonts w:hint="eastAsia"/>
        </w:rPr>
        <w:t>当地人民出行方式将由分散、随机向集中且有规律性转变，农村与城市的界限日趋模糊，农村交通运输市场日益活跃，农村客流量与日俱增</w:t>
      </w:r>
      <w:r>
        <w:t>,</w:t>
      </w:r>
      <w:r>
        <w:rPr>
          <w:rFonts w:hint="eastAsia"/>
        </w:rPr>
        <w:t>城乡道路客运需求旺盛</w:t>
      </w:r>
      <w:r>
        <w:t>,</w:t>
      </w:r>
      <w:r>
        <w:rPr>
          <w:rFonts w:hint="eastAsia"/>
        </w:rPr>
        <w:t>在解决农村交通“出行难</w:t>
      </w:r>
      <w:r>
        <w:t>”</w:t>
      </w:r>
      <w:r>
        <w:rPr>
          <w:rFonts w:hint="eastAsia"/>
        </w:rPr>
        <w:t>问题的基础上，对农村道路网的通达性、客运班车的准点率、舒适性、</w:t>
      </w:r>
      <w:r>
        <w:t>“</w:t>
      </w:r>
      <w:r>
        <w:rPr>
          <w:rFonts w:hint="eastAsia"/>
        </w:rPr>
        <w:t>零换乘</w:t>
      </w:r>
      <w:r>
        <w:t>”</w:t>
      </w:r>
      <w:r>
        <w:rPr>
          <w:rFonts w:hint="eastAsia"/>
        </w:rPr>
        <w:t>便捷性、安全性也都提出了更高的要求。</w:t>
      </w:r>
    </w:p>
    <w:p>
      <w:pPr>
        <w:pStyle w:val="3"/>
        <w:snapToGrid w:val="0"/>
        <w:spacing w:before="190" w:after="190" w:line="240" w:lineRule="auto"/>
      </w:pPr>
      <w:bookmarkStart w:id="28" w:name="_Toc340220198"/>
      <w:bookmarkStart w:id="29" w:name="_Toc317843281"/>
      <w:r>
        <w:t>3.2</w:t>
      </w:r>
      <w:r>
        <w:rPr>
          <w:rFonts w:hint="eastAsia"/>
        </w:rPr>
        <w:t>综合交通运输体系推进道路运输加速发展</w:t>
      </w:r>
      <w:bookmarkEnd w:id="28"/>
      <w:bookmarkEnd w:id="29"/>
    </w:p>
    <w:p>
      <w:pPr>
        <w:ind w:firstLine="560"/>
      </w:pPr>
      <w:r>
        <w:rPr>
          <w:rFonts w:hint="eastAsia"/>
        </w:rPr>
        <w:t>目前云和县对内和对外交通主要以道路交通为主。对外交通属杭州四小时交通圈内，共有</w:t>
      </w:r>
      <w:r>
        <w:t>53</w:t>
      </w:r>
      <w:r>
        <w:rPr>
          <w:rFonts w:hint="eastAsia"/>
        </w:rPr>
        <w:t>省道丽浦公路、</w:t>
      </w:r>
      <w:r>
        <w:t>52</w:t>
      </w:r>
      <w:r>
        <w:rPr>
          <w:rFonts w:hint="eastAsia"/>
        </w:rPr>
        <w:t>省道云寿公路，以及G</w:t>
      </w:r>
      <w:r>
        <w:t>25</w:t>
      </w:r>
      <w:r>
        <w:rPr>
          <w:rFonts w:hint="eastAsia"/>
        </w:rPr>
        <w:t>长深高速</w:t>
      </w:r>
      <w:r>
        <w:t>公路</w:t>
      </w:r>
      <w:r>
        <w:rPr>
          <w:rFonts w:hint="eastAsia"/>
        </w:rPr>
        <w:t>云和</w:t>
      </w:r>
      <w:r>
        <w:t>段</w:t>
      </w:r>
      <w:r>
        <w:rPr>
          <w:rFonts w:hint="eastAsia"/>
        </w:rPr>
        <w:t>，用以连接金温铁路和金温高速公路等，全县通车里程达</w:t>
      </w:r>
      <w:r>
        <w:t>250</w:t>
      </w:r>
      <w:r>
        <w:rPr>
          <w:rFonts w:hint="eastAsia"/>
        </w:rPr>
        <w:t>公里，已形成较为便捷的道路交通网络。对内交通，云和县城内已经开通</w:t>
      </w:r>
      <w:r>
        <w:t>3</w:t>
      </w:r>
      <w:r>
        <w:rPr>
          <w:rFonts w:hint="eastAsia"/>
        </w:rPr>
        <w:t>条公交车路线，已完成700辆公共自行车的投放工作；城乡交通而言，全县共有行政村</w:t>
      </w:r>
      <w:r>
        <w:t>1</w:t>
      </w:r>
      <w:r>
        <w:rPr>
          <w:rFonts w:hint="eastAsia"/>
        </w:rPr>
        <w:t>68个，现有通农村客运班线的行政村147个，行政村通村率</w:t>
      </w:r>
      <w:r>
        <w:t>8</w:t>
      </w:r>
      <w:r>
        <w:rPr>
          <w:rFonts w:hint="eastAsia"/>
        </w:rPr>
        <w:t>7.5</w:t>
      </w:r>
      <w:r>
        <w:t>%</w:t>
      </w:r>
      <w:r>
        <w:rPr>
          <w:rFonts w:hint="eastAsia"/>
        </w:rPr>
        <w:t>。</w:t>
      </w:r>
    </w:p>
    <w:p>
      <w:pPr>
        <w:ind w:firstLine="560"/>
      </w:pPr>
      <w:r>
        <w:rPr>
          <w:rFonts w:hint="eastAsia"/>
        </w:rPr>
        <w:t>同时，云和县仍有少量货运和客运通过水上运输完成，截至</w:t>
      </w:r>
      <w:r>
        <w:t>2014</w:t>
      </w:r>
      <w:r>
        <w:rPr>
          <w:rFonts w:hint="eastAsia"/>
        </w:rPr>
        <w:t>年</w:t>
      </w:r>
      <w:r>
        <w:t>12</w:t>
      </w:r>
      <w:r>
        <w:rPr>
          <w:rFonts w:hint="eastAsia"/>
        </w:rPr>
        <w:t>月底云和县共有注册水上客运企业</w:t>
      </w:r>
      <w:r>
        <w:t>2</w:t>
      </w:r>
      <w:r>
        <w:rPr>
          <w:rFonts w:hint="eastAsia"/>
        </w:rPr>
        <w:t>家，海事登记船舶</w:t>
      </w:r>
      <w:r>
        <w:t>98</w:t>
      </w:r>
      <w:r>
        <w:rPr>
          <w:rFonts w:hint="eastAsia"/>
        </w:rPr>
        <w:t>艘</w:t>
      </w:r>
      <w:r>
        <w:t>,</w:t>
      </w:r>
      <w:r>
        <w:rPr>
          <w:rFonts w:hint="eastAsia"/>
        </w:rPr>
        <w:t>总吨位</w:t>
      </w:r>
      <w:r>
        <w:t>902</w:t>
      </w:r>
      <w:r>
        <w:rPr>
          <w:rFonts w:hint="eastAsia"/>
        </w:rPr>
        <w:t>吨，客位</w:t>
      </w:r>
      <w:r>
        <w:t>1456</w:t>
      </w:r>
      <w:r>
        <w:rPr>
          <w:rFonts w:hint="eastAsia"/>
        </w:rPr>
        <w:t>位。海事登记船舶中，有客运企业船舶</w:t>
      </w:r>
      <w:r>
        <w:t>11</w:t>
      </w:r>
      <w:r>
        <w:rPr>
          <w:rFonts w:hint="eastAsia"/>
        </w:rPr>
        <w:t>艘，</w:t>
      </w:r>
      <w:r>
        <w:t>199</w:t>
      </w:r>
      <w:r>
        <w:rPr>
          <w:rFonts w:hint="eastAsia"/>
        </w:rPr>
        <w:t>客位；个体货船、采砂船</w:t>
      </w:r>
      <w:r>
        <w:t>22</w:t>
      </w:r>
      <w:r>
        <w:rPr>
          <w:rFonts w:hint="eastAsia"/>
        </w:rPr>
        <w:t>艘，总吨位</w:t>
      </w:r>
      <w:r>
        <w:t>902</w:t>
      </w:r>
      <w:r>
        <w:rPr>
          <w:rFonts w:hint="eastAsia"/>
        </w:rPr>
        <w:t>吨；个体简客</w:t>
      </w:r>
      <w:r>
        <w:t>16</w:t>
      </w:r>
      <w:r>
        <w:rPr>
          <w:rFonts w:hint="eastAsia"/>
        </w:rPr>
        <w:t>艘，</w:t>
      </w:r>
      <w:r>
        <w:t>220</w:t>
      </w:r>
      <w:r>
        <w:rPr>
          <w:rFonts w:hint="eastAsia"/>
        </w:rPr>
        <w:t>客位；渡船</w:t>
      </w:r>
      <w:r>
        <w:t>22</w:t>
      </w:r>
      <w:r>
        <w:rPr>
          <w:rFonts w:hint="eastAsia"/>
        </w:rPr>
        <w:t>艘，</w:t>
      </w:r>
      <w:r>
        <w:t>638</w:t>
      </w:r>
      <w:r>
        <w:rPr>
          <w:rFonts w:hint="eastAsia"/>
        </w:rPr>
        <w:t>客位；工作船</w:t>
      </w:r>
      <w:r>
        <w:t>9</w:t>
      </w:r>
      <w:r>
        <w:rPr>
          <w:rFonts w:hint="eastAsia"/>
        </w:rPr>
        <w:t>艘，</w:t>
      </w:r>
      <w:r>
        <w:t>159</w:t>
      </w:r>
      <w:r>
        <w:rPr>
          <w:rFonts w:hint="eastAsia"/>
        </w:rPr>
        <w:t>客位；餐饮船</w:t>
      </w:r>
      <w:r>
        <w:t>275</w:t>
      </w:r>
      <w:r>
        <w:rPr>
          <w:rFonts w:hint="eastAsia"/>
        </w:rPr>
        <w:t>客位。目前正在建设紧水滩中心交通码头和长汀大桥等水上康庄工程。云和县综合运输的建设要求其能符合“小县大城”，</w:t>
      </w:r>
      <w:r>
        <w:t>“</w:t>
      </w:r>
      <w:r>
        <w:rPr>
          <w:rFonts w:hint="eastAsia"/>
        </w:rPr>
        <w:t>绿水青山就是金山银山</w:t>
      </w:r>
      <w:r>
        <w:t>”</w:t>
      </w:r>
      <w:r>
        <w:rPr>
          <w:rFonts w:hint="eastAsia"/>
        </w:rPr>
        <w:t>的发展战略要求，能促进其经济进一步发展的同时又能为旅游景区发展提供良好的道路环境；积极构建集公路、水运于一体的便捷、通畅、高效、安全的综合交通运输网络，为云和打造浙西南重要节点城市和实现“建设美丽云和，创造美好生活”目标奠定基础。</w:t>
      </w:r>
    </w:p>
    <w:p>
      <w:pPr>
        <w:ind w:firstLine="560"/>
      </w:pPr>
      <w:r>
        <w:rPr>
          <w:rFonts w:hint="eastAsia"/>
        </w:rPr>
        <w:t>此外，省委十三届八次全会要求浙江建成“高水平全面小康社会”，特别是提出了“实施万亿综合交通工程，深化推进五大建设，建成都市经济、海洋经济、开放经济、美丽经济‘四大走廊’，加快打造1小时交通圈”的发展要求。在此背景下，云和县将加快建成以公路、水路、铁路三种运输方式为主的综合交通运输体系。综合交通运输体系建设的推进对云和县道路运输的发展如何与其他运输方式相衔接，发挥各种运输方式的运输效能提出了更高的要求。</w:t>
      </w:r>
    </w:p>
    <w:p>
      <w:pPr>
        <w:pStyle w:val="3"/>
        <w:snapToGrid w:val="0"/>
        <w:spacing w:before="190" w:after="190" w:line="240" w:lineRule="auto"/>
      </w:pPr>
      <w:bookmarkStart w:id="30" w:name="_Toc317843283"/>
      <w:bookmarkStart w:id="31" w:name="_Toc340220199"/>
      <w:r>
        <w:t>3.</w:t>
      </w:r>
      <w:r>
        <w:rPr>
          <w:rFonts w:hint="eastAsia"/>
        </w:rPr>
        <w:t>3多元化运输方式对道路运输行业发展的影响和要求</w:t>
      </w:r>
      <w:bookmarkEnd w:id="30"/>
      <w:bookmarkEnd w:id="31"/>
    </w:p>
    <w:p>
      <w:pPr>
        <w:ind w:firstLine="0" w:firstLineChars="0"/>
        <w:rPr>
          <w:b/>
        </w:rPr>
      </w:pPr>
      <w:r>
        <w:rPr>
          <w:rFonts w:hint="eastAsia"/>
          <w:b/>
        </w:rPr>
        <w:t>（</w:t>
      </w:r>
      <w:r>
        <w:rPr>
          <w:b/>
        </w:rPr>
        <w:t>1</w:t>
      </w:r>
      <w:r>
        <w:rPr>
          <w:rFonts w:hint="eastAsia"/>
          <w:b/>
        </w:rPr>
        <w:t>）城际高铁</w:t>
      </w:r>
    </w:p>
    <w:p>
      <w:pPr>
        <w:ind w:firstLine="560"/>
      </w:pPr>
      <w:r>
        <w:rPr>
          <w:rFonts w:hint="eastAsia"/>
        </w:rPr>
        <w:t>随着金丽温铁路扩能改造工程的完工，</w:t>
      </w:r>
      <w:r>
        <w:t>2015</w:t>
      </w:r>
      <w:r>
        <w:rPr>
          <w:rFonts w:hint="eastAsia"/>
        </w:rPr>
        <w:t>年年底丽水市将迎来“高铁时代”。建成通车以后，金丽温铁路线将与甬台温、杭甬、杭长铁路等共同构筑浙江中东部城市间的</w:t>
      </w:r>
      <w:r>
        <w:t>2</w:t>
      </w:r>
      <w:r>
        <w:rPr>
          <w:rFonts w:hint="eastAsia"/>
        </w:rPr>
        <w:t>小时环状路网。丽水将列入“杭州一小时交通圈”和“长三角一小时城际快速通道”范畴，从而进一步缩短丽水与发达地区的时空距离，为加快经济发展带来更多机遇。金丽温铁路扩能改造完成后，</w:t>
      </w:r>
      <w:r>
        <w:t>2020</w:t>
      </w:r>
      <w:r>
        <w:rPr>
          <w:rFonts w:hint="eastAsia"/>
        </w:rPr>
        <w:t>年将每日到发全国各地列车</w:t>
      </w:r>
      <w:r>
        <w:t>59</w:t>
      </w:r>
      <w:r>
        <w:rPr>
          <w:rFonts w:hint="eastAsia"/>
        </w:rPr>
        <w:t>对，预计年铁路客运量达到</w:t>
      </w:r>
      <w:r>
        <w:t>3233</w:t>
      </w:r>
      <w:r>
        <w:rPr>
          <w:rFonts w:hint="eastAsia"/>
        </w:rPr>
        <w:t>万人，其中丽水站为</w:t>
      </w:r>
      <w:r>
        <w:t>298</w:t>
      </w:r>
      <w:r>
        <w:rPr>
          <w:rFonts w:hint="eastAsia"/>
        </w:rPr>
        <w:t>万人次；</w:t>
      </w:r>
      <w:r>
        <w:t>2030</w:t>
      </w:r>
      <w:r>
        <w:rPr>
          <w:rFonts w:hint="eastAsia"/>
        </w:rPr>
        <w:t>年将每日到发全国各地列车</w:t>
      </w:r>
      <w:r>
        <w:t>87</w:t>
      </w:r>
      <w:r>
        <w:rPr>
          <w:rFonts w:hint="eastAsia"/>
        </w:rPr>
        <w:t>对，预计年铁路客运量达到</w:t>
      </w:r>
      <w:r>
        <w:t>4846</w:t>
      </w:r>
      <w:r>
        <w:rPr>
          <w:rFonts w:hint="eastAsia"/>
        </w:rPr>
        <w:t>万人，其中丽水站为</w:t>
      </w:r>
      <w:r>
        <w:t>435</w:t>
      </w:r>
      <w:r>
        <w:rPr>
          <w:rFonts w:hint="eastAsia"/>
        </w:rPr>
        <w:t>万人次，这将对丽水及其各个县市的城市客货运市场产生很大的影响。</w:t>
      </w:r>
    </w:p>
    <w:p>
      <w:pPr>
        <w:ind w:firstLine="560"/>
      </w:pPr>
      <w:r>
        <w:rPr>
          <w:rFonts w:hint="eastAsia"/>
        </w:rPr>
        <w:t>对于云和县道路交通而言，高速铁路会以其快速、舒适等优势将对云和至上海、杭州、金华、温州等丽水范围之外的客运市场产生很大的冲击，长途客运班线的实载率将会大大下降。然而，云和至丽水的客运市场将会因高铁开通而迎来新的机遇。为此，道路旅客运输一方面需充分发挥</w:t>
      </w:r>
      <w:r>
        <w:t>“</w:t>
      </w:r>
      <w:r>
        <w:rPr>
          <w:rFonts w:hint="eastAsia"/>
        </w:rPr>
        <w:t>点到点</w:t>
      </w:r>
      <w:r>
        <w:t>”</w:t>
      </w:r>
      <w:r>
        <w:rPr>
          <w:rFonts w:hint="eastAsia"/>
        </w:rPr>
        <w:t>直达运输的优势，提高运输服务质量，增强其在客运市场的总体竞争实力，降低高铁对长途客运市场的冲击力度；另一方面云和至丽水的客运班线则应根据高铁停靠时段、车次等做好与高速铁路枢纽</w:t>
      </w:r>
      <w:r>
        <w:t>“</w:t>
      </w:r>
      <w:r>
        <w:rPr>
          <w:rFonts w:hint="eastAsia"/>
        </w:rPr>
        <w:t>零换乘</w:t>
      </w:r>
      <w:r>
        <w:t>”</w:t>
      </w:r>
      <w:r>
        <w:rPr>
          <w:rFonts w:hint="eastAsia"/>
        </w:rPr>
        <w:t>的无缝衔接，从而为高铁出行的居民提供交通便利，尤其是为由高铁而产生的旅游客运市场提供更加方便、快捷道路运输服务。</w:t>
      </w:r>
    </w:p>
    <w:p>
      <w:pPr>
        <w:ind w:firstLine="0" w:firstLineChars="0"/>
        <w:rPr>
          <w:b/>
        </w:rPr>
      </w:pPr>
      <w:r>
        <w:rPr>
          <w:rFonts w:hint="eastAsia"/>
          <w:b/>
        </w:rPr>
        <w:t>（</w:t>
      </w:r>
      <w:r>
        <w:rPr>
          <w:b/>
        </w:rPr>
        <w:t>2</w:t>
      </w:r>
      <w:r>
        <w:rPr>
          <w:rFonts w:hint="eastAsia"/>
          <w:b/>
        </w:rPr>
        <w:t>）私家车及电动自行车</w:t>
      </w:r>
    </w:p>
    <w:p>
      <w:pPr>
        <w:ind w:firstLine="560"/>
      </w:pPr>
      <w:r>
        <w:rPr>
          <w:rFonts w:hint="eastAsia"/>
        </w:rPr>
        <w:t>在社会经济快速发展，居民生活水平日益提高的背景下，私家车走进千千万万的普通家庭，而且人均拥有私家车的数量急剧增长。2015年底，云和县共有私家车14286辆，相比“十二五”初期，私家车保有量增长8302辆，增长率达138.7%。</w:t>
      </w:r>
    </w:p>
    <w:p>
      <w:pPr>
        <w:pStyle w:val="60"/>
      </w:pPr>
      <w:r>
        <w:rPr>
          <w:rFonts w:hint="eastAsia"/>
        </w:rPr>
        <w:t>表</w:t>
      </w:r>
      <w:r>
        <w:t>3-</w:t>
      </w:r>
      <w:r>
        <w:rPr>
          <w:rFonts w:hint="eastAsia"/>
        </w:rPr>
        <w:t>2</w:t>
      </w:r>
      <w:r>
        <w:t>201</w:t>
      </w:r>
      <w:r>
        <w:rPr>
          <w:rFonts w:hint="eastAsia"/>
        </w:rPr>
        <w:t>0</w:t>
      </w:r>
      <w:r>
        <w:t>-201</w:t>
      </w:r>
      <w:r>
        <w:rPr>
          <w:rFonts w:hint="eastAsia"/>
        </w:rPr>
        <w:t>5云和县私人小汽车保有量统计表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1868"/>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shd w:val="clear" w:color="auto" w:fill="D8D8D8" w:themeFill="background1" w:themeFillShade="D9"/>
          </w:tcPr>
          <w:p>
            <w:pPr>
              <w:pStyle w:val="41"/>
              <w:rPr>
                <w:b/>
                <w:bCs/>
              </w:rPr>
            </w:pPr>
            <w:r>
              <w:rPr>
                <w:rFonts w:hint="eastAsia"/>
                <w:b/>
                <w:bCs/>
              </w:rPr>
              <w:t>年份</w:t>
            </w:r>
          </w:p>
        </w:tc>
        <w:tc>
          <w:tcPr>
            <w:tcW w:w="1868" w:type="dxa"/>
            <w:shd w:val="clear" w:color="auto" w:fill="D8D8D8" w:themeFill="background1" w:themeFillShade="D9"/>
          </w:tcPr>
          <w:p>
            <w:pPr>
              <w:pStyle w:val="41"/>
              <w:rPr>
                <w:b/>
                <w:bCs/>
              </w:rPr>
            </w:pPr>
            <w:r>
              <w:rPr>
                <w:rFonts w:hint="eastAsia"/>
                <w:b/>
                <w:bCs/>
              </w:rPr>
              <w:t>私家车（辆）</w:t>
            </w:r>
          </w:p>
        </w:tc>
        <w:tc>
          <w:tcPr>
            <w:tcW w:w="2103" w:type="dxa"/>
            <w:shd w:val="clear" w:color="auto" w:fill="D8D8D8" w:themeFill="background1" w:themeFillShade="D9"/>
          </w:tcPr>
          <w:p>
            <w:pPr>
              <w:pStyle w:val="41"/>
              <w:rPr>
                <w:b/>
                <w:bCs/>
              </w:rPr>
            </w:pPr>
            <w:r>
              <w:rPr>
                <w:rFonts w:hint="eastAsia"/>
                <w:b/>
                <w:bCs/>
              </w:rPr>
              <w:t>增长率（</w:t>
            </w:r>
            <w:r>
              <w:rPr>
                <w:b/>
                <w:bCs/>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tcPr>
          <w:p>
            <w:pPr>
              <w:pStyle w:val="41"/>
              <w:rPr>
                <w:bCs/>
              </w:rPr>
            </w:pPr>
            <w:r>
              <w:rPr>
                <w:rFonts w:hint="eastAsia"/>
                <w:bCs/>
              </w:rPr>
              <w:t>2010</w:t>
            </w:r>
          </w:p>
        </w:tc>
        <w:tc>
          <w:tcPr>
            <w:tcW w:w="1868" w:type="dxa"/>
          </w:tcPr>
          <w:p>
            <w:pPr>
              <w:pStyle w:val="41"/>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5894</w:t>
            </w:r>
          </w:p>
        </w:tc>
        <w:tc>
          <w:tcPr>
            <w:tcW w:w="2103" w:type="dxa"/>
          </w:tcPr>
          <w:p>
            <w:pPr>
              <w:pStyle w:val="41"/>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tcPr>
          <w:p>
            <w:pPr>
              <w:pStyle w:val="41"/>
              <w:rPr>
                <w:bCs/>
              </w:rPr>
            </w:pPr>
            <w:r>
              <w:rPr>
                <w:bCs/>
              </w:rPr>
              <w:t>2011</w:t>
            </w:r>
          </w:p>
        </w:tc>
        <w:tc>
          <w:tcPr>
            <w:tcW w:w="1868" w:type="dxa"/>
          </w:tcPr>
          <w:p>
            <w:pPr>
              <w:pStyle w:val="41"/>
              <w:rPr>
                <w:bCs/>
              </w:rPr>
            </w:pPr>
            <w:r>
              <w:rPr>
                <w:bCs/>
              </w:rPr>
              <w:t>8084</w:t>
            </w:r>
          </w:p>
        </w:tc>
        <w:tc>
          <w:tcPr>
            <w:tcW w:w="2103" w:type="dxa"/>
          </w:tcPr>
          <w:p>
            <w:pPr>
              <w:pStyle w:val="41"/>
              <w:rPr>
                <w:bCs/>
              </w:rPr>
            </w:pPr>
            <w:r>
              <w:rPr>
                <w:rFonts w:hint="eastAsia"/>
                <w:bCs/>
              </w:rPr>
              <w:t>37.16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1" w:type="dxa"/>
          </w:tcPr>
          <w:p>
            <w:pPr>
              <w:pStyle w:val="41"/>
              <w:rPr>
                <w:bCs/>
              </w:rPr>
            </w:pPr>
            <w:r>
              <w:rPr>
                <w:bCs/>
              </w:rPr>
              <w:t>2012</w:t>
            </w:r>
          </w:p>
        </w:tc>
        <w:tc>
          <w:tcPr>
            <w:tcW w:w="1868" w:type="dxa"/>
          </w:tcPr>
          <w:p>
            <w:pPr>
              <w:pStyle w:val="41"/>
              <w:rPr>
                <w:bCs/>
                <w:color w:val="FF0000"/>
              </w:rPr>
            </w:pPr>
            <w:r>
              <w:rPr>
                <w:bCs/>
              </w:rPr>
              <w:t>9614</w:t>
            </w:r>
          </w:p>
        </w:tc>
        <w:tc>
          <w:tcPr>
            <w:tcW w:w="2103" w:type="dxa"/>
          </w:tcPr>
          <w:p>
            <w:pPr>
              <w:pStyle w:val="41"/>
              <w:rPr>
                <w:bCs/>
              </w:rPr>
            </w:pPr>
            <w:r>
              <w:rPr>
                <w:rFonts w:hint="eastAsia"/>
                <w:bCs/>
              </w:rPr>
              <w:t>18.93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tcPr>
          <w:p>
            <w:pPr>
              <w:pStyle w:val="41"/>
              <w:rPr>
                <w:bCs/>
              </w:rPr>
            </w:pPr>
            <w:r>
              <w:rPr>
                <w:bCs/>
              </w:rPr>
              <w:t>2013</w:t>
            </w:r>
          </w:p>
        </w:tc>
        <w:tc>
          <w:tcPr>
            <w:tcW w:w="1868" w:type="dxa"/>
          </w:tcPr>
          <w:p>
            <w:pPr>
              <w:pStyle w:val="41"/>
              <w:rPr>
                <w:bCs/>
                <w:color w:val="FF0000"/>
              </w:rPr>
            </w:pPr>
            <w:r>
              <w:rPr>
                <w:bCs/>
              </w:rPr>
              <w:t>11463</w:t>
            </w:r>
          </w:p>
        </w:tc>
        <w:tc>
          <w:tcPr>
            <w:tcW w:w="2103" w:type="dxa"/>
          </w:tcPr>
          <w:p>
            <w:pPr>
              <w:pStyle w:val="41"/>
              <w:rPr>
                <w:bCs/>
              </w:rPr>
            </w:pPr>
            <w:r>
              <w:rPr>
                <w:rFonts w:hint="eastAsia"/>
                <w:bCs/>
              </w:rPr>
              <w:t>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tcPr>
          <w:p>
            <w:pPr>
              <w:pStyle w:val="41"/>
              <w:rPr>
                <w:bCs/>
              </w:rPr>
            </w:pPr>
            <w:r>
              <w:rPr>
                <w:bCs/>
              </w:rPr>
              <w:t>2014</w:t>
            </w:r>
          </w:p>
        </w:tc>
        <w:tc>
          <w:tcPr>
            <w:tcW w:w="1868" w:type="dxa"/>
          </w:tcPr>
          <w:p>
            <w:pPr>
              <w:pStyle w:val="41"/>
              <w:rPr>
                <w:bCs/>
                <w:color w:val="FF0000"/>
              </w:rPr>
            </w:pPr>
            <w:r>
              <w:rPr>
                <w:bCs/>
              </w:rPr>
              <w:t>13025</w:t>
            </w:r>
          </w:p>
        </w:tc>
        <w:tc>
          <w:tcPr>
            <w:tcW w:w="2103" w:type="dxa"/>
          </w:tcPr>
          <w:p>
            <w:pPr>
              <w:pStyle w:val="41"/>
              <w:rPr>
                <w:bCs/>
              </w:rPr>
            </w:pPr>
            <w:r>
              <w:rPr>
                <w:rFonts w:hint="eastAsia"/>
                <w:bCs/>
              </w:rPr>
              <w:t>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1" w:type="dxa"/>
          </w:tcPr>
          <w:p>
            <w:pPr>
              <w:pStyle w:val="41"/>
              <w:rPr>
                <w:bCs/>
              </w:rPr>
            </w:pPr>
            <w:r>
              <w:rPr>
                <w:rFonts w:hint="eastAsia"/>
                <w:bCs/>
              </w:rPr>
              <w:t>2015</w:t>
            </w:r>
          </w:p>
        </w:tc>
        <w:tc>
          <w:tcPr>
            <w:tcW w:w="1868" w:type="dxa"/>
          </w:tcPr>
          <w:p>
            <w:pPr>
              <w:pStyle w:val="41"/>
              <w:rPr>
                <w:bCs/>
              </w:rPr>
            </w:pPr>
            <w:r>
              <w:rPr>
                <w:rFonts w:hint="eastAsia"/>
                <w:bCs/>
              </w:rPr>
              <w:t>14286</w:t>
            </w:r>
          </w:p>
        </w:tc>
        <w:tc>
          <w:tcPr>
            <w:tcW w:w="2103" w:type="dxa"/>
          </w:tcPr>
          <w:p>
            <w:pPr>
              <w:pStyle w:val="41"/>
              <w:rPr>
                <w:bCs/>
              </w:rPr>
            </w:pPr>
            <w:r>
              <w:rPr>
                <w:rFonts w:hint="eastAsia"/>
                <w:bCs/>
              </w:rPr>
              <w:t>9.68</w:t>
            </w:r>
          </w:p>
        </w:tc>
      </w:tr>
    </w:tbl>
    <w:p>
      <w:pPr>
        <w:ind w:firstLine="560" w:firstLineChars="0"/>
      </w:pPr>
      <w:r>
        <w:rPr>
          <w:rFonts w:hint="eastAsia"/>
        </w:rPr>
        <w:t>此外，由于电动自行车和摩托车因为其出行的便利性，非常适宜小城镇出行，一直以来，这两种出行方式深受云和县居民的喜爱。但这两种运输工具也给云和县县城交通带来不小的压力。据统计，截止到2015年底，云和县共有电动自行车49481辆，较2011年增长104.8%，人均电动自行车拥有量为达到0.44辆。</w:t>
      </w:r>
    </w:p>
    <w:p>
      <w:pPr>
        <w:pStyle w:val="60"/>
      </w:pPr>
      <w:r>
        <w:rPr>
          <w:rFonts w:hint="eastAsia"/>
        </w:rPr>
        <w:t>表</w:t>
      </w:r>
      <w:r>
        <w:t>3-</w:t>
      </w:r>
      <w:r>
        <w:rPr>
          <w:rFonts w:hint="eastAsia"/>
        </w:rPr>
        <w:t>3</w:t>
      </w:r>
      <w:r>
        <w:t>2011-201</w:t>
      </w:r>
      <w:r>
        <w:rPr>
          <w:rFonts w:hint="eastAsia"/>
        </w:rPr>
        <w:t>5云和县电动自行车保有量统计表</w:t>
      </w:r>
    </w:p>
    <w:tbl>
      <w:tblPr>
        <w:tblStyle w:val="23"/>
        <w:tblW w:w="6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2551"/>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shd w:val="clear" w:color="auto" w:fill="BEBEBE" w:themeFill="background1" w:themeFillShade="BF"/>
            <w:vAlign w:val="center"/>
          </w:tcPr>
          <w:p>
            <w:pPr>
              <w:pStyle w:val="41"/>
              <w:rPr>
                <w:b/>
                <w:bCs/>
              </w:rPr>
            </w:pPr>
            <w:r>
              <w:rPr>
                <w:rFonts w:hint="eastAsia"/>
                <w:b/>
                <w:bCs/>
              </w:rPr>
              <w:t>年份</w:t>
            </w:r>
          </w:p>
        </w:tc>
        <w:tc>
          <w:tcPr>
            <w:tcW w:w="2551" w:type="dxa"/>
            <w:shd w:val="clear" w:color="auto" w:fill="BEBEBE" w:themeFill="background1" w:themeFillShade="BF"/>
            <w:vAlign w:val="center"/>
          </w:tcPr>
          <w:p>
            <w:pPr>
              <w:pStyle w:val="41"/>
              <w:rPr>
                <w:b/>
                <w:bCs/>
              </w:rPr>
            </w:pPr>
            <w:r>
              <w:rPr>
                <w:rFonts w:hint="eastAsia"/>
                <w:b/>
                <w:bCs/>
              </w:rPr>
              <w:t>电动自行车（辆）</w:t>
            </w:r>
          </w:p>
        </w:tc>
        <w:tc>
          <w:tcPr>
            <w:tcW w:w="2384" w:type="dxa"/>
            <w:shd w:val="clear" w:color="auto" w:fill="BEBEBE" w:themeFill="background1" w:themeFillShade="BF"/>
            <w:vAlign w:val="center"/>
          </w:tcPr>
          <w:p>
            <w:pPr>
              <w:pStyle w:val="41"/>
              <w:rPr>
                <w:b/>
                <w:bCs/>
              </w:rPr>
            </w:pPr>
            <w:r>
              <w:rPr>
                <w:rFonts w:hint="eastAsia"/>
                <w:b/>
                <w:bCs/>
              </w:rPr>
              <w:t>增长率（</w:t>
            </w:r>
            <w:r>
              <w:rPr>
                <w:b/>
                <w:bCs/>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pPr>
              <w:pStyle w:val="41"/>
              <w:rPr>
                <w:bCs/>
              </w:rPr>
            </w:pPr>
            <w:r>
              <w:rPr>
                <w:bCs/>
              </w:rPr>
              <w:t>2011</w:t>
            </w:r>
          </w:p>
        </w:tc>
        <w:tc>
          <w:tcPr>
            <w:tcW w:w="2551" w:type="dxa"/>
            <w:vAlign w:val="center"/>
          </w:tcPr>
          <w:p>
            <w:pPr>
              <w:pStyle w:val="41"/>
              <w:rPr>
                <w:bCs/>
                <w:color w:val="FF0000"/>
              </w:rPr>
            </w:pPr>
            <w:r>
              <w:rPr>
                <w:bCs/>
              </w:rPr>
              <w:t>2</w:t>
            </w:r>
            <w:r>
              <w:rPr>
                <w:rFonts w:hint="eastAsia"/>
                <w:bCs/>
              </w:rPr>
              <w:t>4166</w:t>
            </w:r>
          </w:p>
        </w:tc>
        <w:tc>
          <w:tcPr>
            <w:tcW w:w="2384" w:type="dxa"/>
            <w:vAlign w:val="center"/>
          </w:tcPr>
          <w:p>
            <w:pPr>
              <w:pStyle w:val="41"/>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pPr>
              <w:pStyle w:val="41"/>
              <w:rPr>
                <w:bCs/>
              </w:rPr>
            </w:pPr>
            <w:r>
              <w:rPr>
                <w:bCs/>
              </w:rPr>
              <w:t>2012</w:t>
            </w:r>
          </w:p>
        </w:tc>
        <w:tc>
          <w:tcPr>
            <w:tcW w:w="2551" w:type="dxa"/>
            <w:vAlign w:val="center"/>
          </w:tcPr>
          <w:p>
            <w:pPr>
              <w:pStyle w:val="41"/>
              <w:rPr>
                <w:bCs/>
                <w:color w:val="FF0000"/>
              </w:rPr>
            </w:pPr>
            <w:r>
              <w:rPr>
                <w:bCs/>
              </w:rPr>
              <w:t>3</w:t>
            </w:r>
            <w:r>
              <w:rPr>
                <w:rFonts w:hint="eastAsia"/>
                <w:bCs/>
              </w:rPr>
              <w:t>0707</w:t>
            </w:r>
          </w:p>
        </w:tc>
        <w:tc>
          <w:tcPr>
            <w:tcW w:w="2384" w:type="dxa"/>
            <w:vAlign w:val="center"/>
          </w:tcPr>
          <w:p>
            <w:pPr>
              <w:pStyle w:val="41"/>
              <w:rPr>
                <w:bCs/>
              </w:rPr>
            </w:pPr>
            <w:r>
              <w:rPr>
                <w:rFonts w:hint="eastAsia"/>
                <w:bCs/>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pPr>
              <w:pStyle w:val="41"/>
              <w:rPr>
                <w:bCs/>
              </w:rPr>
            </w:pPr>
            <w:r>
              <w:rPr>
                <w:bCs/>
              </w:rPr>
              <w:t>2013</w:t>
            </w:r>
          </w:p>
        </w:tc>
        <w:tc>
          <w:tcPr>
            <w:tcW w:w="2551" w:type="dxa"/>
            <w:vAlign w:val="center"/>
          </w:tcPr>
          <w:p>
            <w:pPr>
              <w:pStyle w:val="41"/>
              <w:rPr>
                <w:bCs/>
                <w:color w:val="FF0000"/>
              </w:rPr>
            </w:pPr>
            <w:r>
              <w:rPr>
                <w:rFonts w:hint="eastAsia"/>
                <w:bCs/>
              </w:rPr>
              <w:t>36249</w:t>
            </w:r>
          </w:p>
        </w:tc>
        <w:tc>
          <w:tcPr>
            <w:tcW w:w="2384" w:type="dxa"/>
            <w:vAlign w:val="center"/>
          </w:tcPr>
          <w:p>
            <w:pPr>
              <w:pStyle w:val="41"/>
              <w:rPr>
                <w:bCs/>
              </w:rPr>
            </w:pPr>
            <w:r>
              <w:rPr>
                <w:rFonts w:hint="eastAsia"/>
                <w:bC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pPr>
              <w:pStyle w:val="41"/>
              <w:rPr>
                <w:bCs/>
              </w:rPr>
            </w:pPr>
            <w:r>
              <w:rPr>
                <w:bCs/>
              </w:rPr>
              <w:t>2014</w:t>
            </w:r>
          </w:p>
        </w:tc>
        <w:tc>
          <w:tcPr>
            <w:tcW w:w="2551" w:type="dxa"/>
            <w:vAlign w:val="center"/>
          </w:tcPr>
          <w:p>
            <w:pPr>
              <w:pStyle w:val="41"/>
              <w:rPr>
                <w:bCs/>
                <w:color w:val="FF0000"/>
              </w:rPr>
            </w:pPr>
            <w:r>
              <w:rPr>
                <w:rFonts w:hint="eastAsia"/>
                <w:bCs/>
              </w:rPr>
              <w:t>42699</w:t>
            </w:r>
          </w:p>
        </w:tc>
        <w:tc>
          <w:tcPr>
            <w:tcW w:w="2384" w:type="dxa"/>
            <w:vAlign w:val="center"/>
          </w:tcPr>
          <w:p>
            <w:pPr>
              <w:pStyle w:val="41"/>
              <w:rPr>
                <w:bCs/>
              </w:rPr>
            </w:pPr>
            <w:r>
              <w:rPr>
                <w:rFonts w:hint="eastAsia"/>
                <w:bCs/>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pPr>
              <w:pStyle w:val="41"/>
              <w:rPr>
                <w:bCs/>
              </w:rPr>
            </w:pPr>
            <w:r>
              <w:rPr>
                <w:rFonts w:hint="eastAsia"/>
                <w:bCs/>
              </w:rPr>
              <w:t>2015</w:t>
            </w:r>
          </w:p>
        </w:tc>
        <w:tc>
          <w:tcPr>
            <w:tcW w:w="2551" w:type="dxa"/>
            <w:vAlign w:val="center"/>
          </w:tcPr>
          <w:p>
            <w:pPr>
              <w:pStyle w:val="41"/>
              <w:rPr>
                <w:bCs/>
              </w:rPr>
            </w:pPr>
            <w:r>
              <w:rPr>
                <w:rFonts w:hint="eastAsia"/>
                <w:bCs/>
              </w:rPr>
              <w:t>49481</w:t>
            </w:r>
          </w:p>
        </w:tc>
        <w:tc>
          <w:tcPr>
            <w:tcW w:w="2384" w:type="dxa"/>
            <w:vAlign w:val="center"/>
          </w:tcPr>
          <w:p>
            <w:pPr>
              <w:pStyle w:val="41"/>
              <w:rPr>
                <w:bCs/>
              </w:rPr>
            </w:pPr>
            <w:r>
              <w:rPr>
                <w:rFonts w:hint="eastAsia"/>
                <w:bCs/>
              </w:rPr>
              <w:t>15.9</w:t>
            </w:r>
          </w:p>
        </w:tc>
      </w:tr>
    </w:tbl>
    <w:p>
      <w:pPr>
        <w:ind w:firstLine="560"/>
      </w:pPr>
      <w:r>
        <w:rPr>
          <w:rFonts w:hint="eastAsia"/>
        </w:rPr>
        <w:t>私家车保有量及电动自行车迅速增长给城市交通带来了一定的压力，在早晚高峰期、节假日、旅游旺季等特殊时间段出现停车难、交通拥堵等问题，这要求城市道路、停车场合理规划建设，交通管制、错峰出行等交通需求管理措施合理实施以缓解城市交通压力。</w:t>
      </w:r>
    </w:p>
    <w:p>
      <w:pPr>
        <w:pStyle w:val="3"/>
        <w:snapToGrid w:val="0"/>
        <w:spacing w:before="190" w:after="190" w:line="240" w:lineRule="auto"/>
      </w:pPr>
      <w:bookmarkStart w:id="32" w:name="_Toc317843284"/>
      <w:bookmarkStart w:id="33" w:name="_Toc340220200"/>
      <w:r>
        <w:rPr>
          <w:rFonts w:hint="eastAsia"/>
        </w:rPr>
        <w:t>3.4绿色发展要求引导行业节能减排对道路运输提出新要求</w:t>
      </w:r>
      <w:bookmarkEnd w:id="32"/>
      <w:bookmarkEnd w:id="33"/>
    </w:p>
    <w:p>
      <w:pPr>
        <w:ind w:firstLine="560"/>
      </w:pPr>
      <w:r>
        <w:rPr>
          <w:rFonts w:hint="eastAsia"/>
        </w:rPr>
        <w:t>绿色发展，建设“美丽”浙江是近几年来浙江省城市建设的重要目标，道路运输行业作为能源消耗和污染排放大户，在“十三五”时期必须责无旁贷地担当绿色发展重任。云和县道路运输“十三五”发展重点要结合行业发展特点，担负建设“两美浙江”，加快实施绿色道路运输专项方案，全面淘汰营运黄标车，大力推动节能和新能源车型在公交车、出租车和驾培教练车等道路运输重点领域的广泛应用。大力发展城市公共交通，引导公众低碳出行，培养全社会绿色出行的理念和习惯。</w:t>
      </w:r>
    </w:p>
    <w:p>
      <w:pPr>
        <w:pStyle w:val="3"/>
        <w:snapToGrid w:val="0"/>
        <w:spacing w:before="190" w:after="190" w:line="240" w:lineRule="auto"/>
      </w:pPr>
      <w:bookmarkStart w:id="34" w:name="_Toc317843285"/>
      <w:bookmarkStart w:id="35" w:name="_Toc340220201"/>
      <w:r>
        <w:t>3.</w:t>
      </w:r>
      <w:r>
        <w:rPr>
          <w:rFonts w:hint="eastAsia"/>
        </w:rPr>
        <w:t>5发展的资源要素环境</w:t>
      </w:r>
      <w:bookmarkEnd w:id="34"/>
      <w:bookmarkEnd w:id="35"/>
    </w:p>
    <w:p>
      <w:pPr>
        <w:ind w:firstLine="0" w:firstLineChars="0"/>
        <w:rPr>
          <w:b/>
        </w:rPr>
      </w:pPr>
      <w:r>
        <w:rPr>
          <w:rFonts w:hint="eastAsia"/>
          <w:b/>
        </w:rPr>
        <w:t>（</w:t>
      </w:r>
      <w:r>
        <w:rPr>
          <w:b/>
        </w:rPr>
        <w:t>1</w:t>
      </w:r>
      <w:r>
        <w:rPr>
          <w:rFonts w:hint="eastAsia"/>
          <w:b/>
        </w:rPr>
        <w:t>）土地资源约束</w:t>
      </w:r>
    </w:p>
    <w:p>
      <w:pPr>
        <w:ind w:firstLine="560"/>
      </w:pPr>
      <w:r>
        <w:rPr>
          <w:rFonts w:hint="eastAsia"/>
        </w:rPr>
        <w:t>城市土地利用与城市交通运输是形成城市空间结构的两种基本活动，二者相互影响，相互联系。以往交通运输短缺并且运输规模较小，道路运输的发展仍可以突破各种要素的制约，快速并大规模的建设发展。而今，土地资源、环境资源等刚性约束越来越强，城市人均建设用地偏高、城市空间结构松散，交通运输的发展受到了很大的限制。伴随着城市道路交通建设规模的不断扩大</w:t>
      </w:r>
      <w:r>
        <w:t xml:space="preserve">, </w:t>
      </w:r>
      <w:r>
        <w:rPr>
          <w:rFonts w:hint="eastAsia"/>
        </w:rPr>
        <w:t>提高路网规划与土地利用规划的一体化水平</w:t>
      </w:r>
      <w:r>
        <w:t xml:space="preserve">, </w:t>
      </w:r>
      <w:r>
        <w:rPr>
          <w:rFonts w:hint="eastAsia"/>
        </w:rPr>
        <w:t>提高土地资源的使用效率</w:t>
      </w:r>
      <w:r>
        <w:t xml:space="preserve">, </w:t>
      </w:r>
      <w:r>
        <w:rPr>
          <w:rFonts w:hint="eastAsia"/>
        </w:rPr>
        <w:t>提升资源承载能力</w:t>
      </w:r>
      <w:r>
        <w:t>,</w:t>
      </w:r>
      <w:r>
        <w:rPr>
          <w:rFonts w:hint="eastAsia"/>
        </w:rPr>
        <w:t>走资源集约型的发展道路势在必行。</w:t>
      </w:r>
    </w:p>
    <w:p>
      <w:pPr>
        <w:ind w:firstLine="0" w:firstLineChars="0"/>
        <w:rPr>
          <w:b/>
        </w:rPr>
      </w:pPr>
      <w:r>
        <w:rPr>
          <w:rFonts w:hint="eastAsia"/>
          <w:b/>
        </w:rPr>
        <w:t>（</w:t>
      </w:r>
      <w:r>
        <w:rPr>
          <w:b/>
        </w:rPr>
        <w:t>2</w:t>
      </w:r>
      <w:r>
        <w:rPr>
          <w:rFonts w:hint="eastAsia"/>
          <w:b/>
        </w:rPr>
        <w:t>）场站、园区、枢纽的综合开发利用</w:t>
      </w:r>
    </w:p>
    <w:p>
      <w:pPr>
        <w:ind w:firstLine="560"/>
      </w:pPr>
      <w:r>
        <w:rPr>
          <w:rFonts w:hint="eastAsia"/>
        </w:rPr>
        <w:t>场站、园区、枢纽的综合开发利用实现了不同方式或同种运输方式的集中转换，提高了城市内、外运输的便捷性，激发城市内部潜在运输需求，并且能够吸引周边地区的客货流进行集中中转、集散、过境等，对于发挥综合运输服务效率，促进社会经济发展有着重要意义，是现代化综合交通运输发展的目标之一。场站、园区、枢纽的综合开发利用对多种运输方式的深度融合提出了更高的要求。同时，道路运输将面临新挑战：如何进一步强化资源优化配置，完善运输线网结构，提升客流、物流的运输服务能力，参与综合运输一体化、集约化发展，为不同运输方式间的接驳或中转运输提供优质服务。</w:t>
      </w:r>
    </w:p>
    <w:p>
      <w:pPr>
        <w:ind w:firstLine="0" w:firstLineChars="0"/>
        <w:rPr>
          <w:b/>
        </w:rPr>
      </w:pPr>
      <w:r>
        <w:rPr>
          <w:rFonts w:hint="eastAsia"/>
          <w:b/>
        </w:rPr>
        <w:t>（</w:t>
      </w:r>
      <w:r>
        <w:rPr>
          <w:b/>
        </w:rPr>
        <w:t>3</w:t>
      </w:r>
      <w:r>
        <w:rPr>
          <w:rFonts w:hint="eastAsia"/>
          <w:b/>
        </w:rPr>
        <w:t>）缓解城市交通拥堵</w:t>
      </w:r>
    </w:p>
    <w:p>
      <w:pPr>
        <w:ind w:firstLine="560"/>
      </w:pPr>
      <w:r>
        <w:rPr>
          <w:rFonts w:hint="eastAsia"/>
        </w:rPr>
        <w:t>城市交通拥堵是城市发展中存在的普遍问题，其产生的根本原因是道路供给无法满足日益增长的交通需求。然而，著名的当斯定律（</w:t>
      </w:r>
      <w:r>
        <w:t>Downs law</w:t>
      </w:r>
      <w:r>
        <w:rPr>
          <w:rFonts w:hint="eastAsia"/>
        </w:rPr>
        <w:t>）表明：在政府对城市交通不进行有效管制和控制的情况下，新建的道路设施会诱发新的交通量，而交通需求总是倾向于超过交通供给，因而产生新一轮的城市交通拥堵。因此，单纯的扩建城市道路，增加交通供给无法从根源上解决城市交通拥堵问题。为此交通管理部门应制定相关管理政策，出行者以交通政策为导向，根据自身的实际情况理性地选择出行路径、出行时刻，从而达到促使城市交通路网的时空分布均衡，避免车流量过于集中于某一路段或者时段，从而达到缓解城市交通拥堵的目的。此外，伴随着城市土地资源、环境资源日益紧缺，突出</w:t>
      </w:r>
      <w:r>
        <w:t>“</w:t>
      </w:r>
      <w:r>
        <w:rPr>
          <w:rFonts w:hint="eastAsia"/>
        </w:rPr>
        <w:t>公交优先</w:t>
      </w:r>
      <w:r>
        <w:t>”</w:t>
      </w:r>
      <w:r>
        <w:rPr>
          <w:rFonts w:hint="eastAsia"/>
        </w:rPr>
        <w:t>，以绿色交通为主导，引导城市交通节能低碳、可持续发展是缓解城市交通拥堵问题的主要途径。</w:t>
      </w:r>
    </w:p>
    <w:p>
      <w:pPr>
        <w:ind w:firstLine="0" w:firstLineChars="0"/>
        <w:rPr>
          <w:b/>
        </w:rPr>
      </w:pPr>
      <w:bookmarkStart w:id="36" w:name="_Toc317843287"/>
      <w:r>
        <w:rPr>
          <w:rFonts w:hint="eastAsia"/>
          <w:b/>
        </w:rPr>
        <w:t>（4）科技进步对行业发展的影响和要求</w:t>
      </w:r>
      <w:bookmarkEnd w:id="36"/>
    </w:p>
    <w:p>
      <w:pPr>
        <w:ind w:firstLine="560"/>
      </w:pPr>
      <w:r>
        <w:rPr>
          <w:rFonts w:hint="eastAsia"/>
        </w:rPr>
        <w:t>道路运输可持续发展是建设、养护、管理和运输服务的协调发展，同时更加注重资源节约和环境友好，逐步实现道路交通与自然环境、社会环境的协调发展。它的每一个环节都离不开科学技术的支持。加快科技创新可以为运输节能减排、缓解交通拥堵、保障运输安全、提高运输服务效率等提供最大可能，促进道路交通运输协同化、设施一体化、组织集约化、服务便民化、装备标准化、信息智能化、安全常态化、发展低碳化。</w:t>
      </w:r>
    </w:p>
    <w:p>
      <w:pPr>
        <w:pStyle w:val="3"/>
        <w:spacing w:before="190" w:after="190"/>
      </w:pPr>
      <w:bookmarkStart w:id="37" w:name="_Toc340220202"/>
      <w:bookmarkStart w:id="38" w:name="_Toc317843288"/>
      <w:r>
        <w:t>3.</w:t>
      </w:r>
      <w:r>
        <w:rPr>
          <w:rFonts w:hint="eastAsia"/>
        </w:rPr>
        <w:t>6管理制度改革对行业管理提出了新要求</w:t>
      </w:r>
      <w:bookmarkEnd w:id="37"/>
      <w:bookmarkEnd w:id="38"/>
    </w:p>
    <w:p>
      <w:pPr>
        <w:ind w:firstLine="560"/>
      </w:pPr>
      <w:r>
        <w:rPr>
          <w:rFonts w:hint="eastAsia"/>
        </w:rPr>
        <w:t>“十三五”是道路运输行业深化管理体制改革的重要时期。新常态下，深化道路运输体制改革，创新管理思路，提升道路运输服务水平是道路运输业突破制约其发展瓶颈的重要途径。日前，交通运输部印发了</w:t>
      </w:r>
      <w:r>
        <w:rPr>
          <w:rFonts w:hint="eastAsia" w:ascii="宋体" w:hAnsi="宋体"/>
          <w:szCs w:val="28"/>
        </w:rPr>
        <w:t>《</w:t>
      </w:r>
      <w:r>
        <w:rPr>
          <w:rFonts w:hint="eastAsia" w:ascii="宋体" w:hAnsi="宋体"/>
          <w:szCs w:val="28"/>
          <w:shd w:val="clear" w:color="auto" w:fill="FFFFFF"/>
        </w:rPr>
        <w:t>关于全面深化交通运输改革的意见》（交政研发〔</w:t>
      </w:r>
      <w:r>
        <w:rPr>
          <w:rFonts w:ascii="宋体" w:hAnsi="宋体"/>
          <w:szCs w:val="28"/>
          <w:shd w:val="clear" w:color="auto" w:fill="FFFFFF"/>
        </w:rPr>
        <w:t>2014</w:t>
      </w:r>
      <w:r>
        <w:rPr>
          <w:rFonts w:hint="eastAsia" w:ascii="宋体" w:hAnsi="宋体"/>
          <w:szCs w:val="28"/>
          <w:shd w:val="clear" w:color="auto" w:fill="FFFFFF"/>
        </w:rPr>
        <w:t>〕</w:t>
      </w:r>
      <w:r>
        <w:rPr>
          <w:rFonts w:ascii="宋体" w:hAnsi="宋体"/>
          <w:szCs w:val="28"/>
          <w:shd w:val="clear" w:color="auto" w:fill="FFFFFF"/>
        </w:rPr>
        <w:t>242</w:t>
      </w:r>
      <w:r>
        <w:rPr>
          <w:rFonts w:hint="eastAsia" w:ascii="宋体" w:hAnsi="宋体"/>
          <w:szCs w:val="28"/>
          <w:shd w:val="clear" w:color="auto" w:fill="FFFFFF"/>
        </w:rPr>
        <w:t>号）</w:t>
      </w:r>
      <w:r>
        <w:rPr>
          <w:rFonts w:hint="eastAsia" w:ascii="宋体" w:hAnsi="宋体"/>
          <w:szCs w:val="28"/>
        </w:rPr>
        <w:t>，</w:t>
      </w:r>
      <w:r>
        <w:rPr>
          <w:rFonts w:hint="eastAsia"/>
        </w:rPr>
        <w:t>浙江省全面启动综合交通运输改革、道路运输行政体制改革、道路运输市场化改革等多项改革项目。在道路运输管理体制全面深化改革的背景下，道路运输发展行业管理应注重简政放权，还权于市场，放权于基层，充分发挥运输管理部门宏观调控和市场监管能力；理清政府和市场边界，完善资源配置模式，充分释放市场活力，发挥市场在资源配置中的决定性作用；以提升道路运输服务水平作为行业深化改革的总目标，不断完善道路监管体系，加强道路运输动态市场监测，提高综合监管水平；推进政府购买道路运输基本公共服务、行业事务性管理服务，特别是农村旅客运输、城乡公交、城市公共交通等。</w:t>
      </w:r>
    </w:p>
    <w:p>
      <w:pPr>
        <w:pStyle w:val="3"/>
        <w:spacing w:before="190" w:after="190"/>
      </w:pPr>
      <w:bookmarkStart w:id="39" w:name="_Toc340220203"/>
      <w:bookmarkStart w:id="40" w:name="_Toc317843289"/>
      <w:r>
        <w:rPr>
          <w:rFonts w:hint="eastAsia"/>
        </w:rPr>
        <w:t>3.7行业安全监管对道路运输行业发展提出了更高要求</w:t>
      </w:r>
      <w:bookmarkEnd w:id="39"/>
      <w:bookmarkEnd w:id="40"/>
    </w:p>
    <w:p>
      <w:pPr>
        <w:widowControl/>
        <w:ind w:firstLine="570" w:firstLineChars="0"/>
        <w:jc w:val="left"/>
      </w:pPr>
      <w:r>
        <w:rPr>
          <w:rFonts w:hint="eastAsia"/>
        </w:rPr>
        <w:t>近年来，安全生产事故屡次发生，造成重大财产损失和人员伤亡，可以说行业安全生产形势十分严峻。道路运输行业是关系民生的重要行业，也是保障人民生命财产安全的前沿阵地。但目前我省道路运输安全管理基础仍然比较薄弱，这就要求各地市要加强安全生产监管，进一步加大对安全管理方面的投入。这就要求云和县道路运输“十三五”发展将把安全生产监管作为工作的重点，进一步加大安全设施投入、规范管理，落实企业主体责任和行业监管责任，深入研究创新安全监管的手段、模式，实现有效、精准管理。</w:t>
      </w:r>
    </w:p>
    <w:p>
      <w:pPr>
        <w:widowControl/>
        <w:ind w:firstLine="570" w:firstLineChars="0"/>
        <w:jc w:val="left"/>
      </w:pPr>
    </w:p>
    <w:p>
      <w:pPr>
        <w:widowControl/>
        <w:ind w:firstLine="570" w:firstLineChars="0"/>
        <w:jc w:val="left"/>
      </w:pPr>
    </w:p>
    <w:p>
      <w:pPr>
        <w:widowControl/>
        <w:ind w:firstLine="570" w:firstLineChars="0"/>
        <w:jc w:val="left"/>
        <w:rPr>
          <w:rFonts w:ascii="宋体"/>
          <w:szCs w:val="28"/>
        </w:rPr>
      </w:pPr>
      <w:r>
        <w:rPr>
          <w:rFonts w:ascii="宋体"/>
          <w:szCs w:val="28"/>
        </w:rPr>
        <w:br w:type="page"/>
      </w:r>
    </w:p>
    <w:p>
      <w:pPr>
        <w:pStyle w:val="2"/>
        <w:spacing w:after="190"/>
      </w:pPr>
      <w:bookmarkStart w:id="41" w:name="_Toc317843290"/>
      <w:bookmarkStart w:id="42" w:name="_Toc340220204"/>
      <w:r>
        <w:rPr>
          <w:rFonts w:hint="eastAsia"/>
        </w:rPr>
        <w:t>第四章“十三五”道路运输发展需求预测</w:t>
      </w:r>
      <w:bookmarkEnd w:id="41"/>
      <w:bookmarkEnd w:id="42"/>
    </w:p>
    <w:p>
      <w:pPr>
        <w:pStyle w:val="3"/>
        <w:snapToGrid w:val="0"/>
        <w:spacing w:before="190" w:after="190" w:line="240" w:lineRule="auto"/>
      </w:pPr>
      <w:bookmarkStart w:id="43" w:name="_Toc317843291"/>
      <w:bookmarkStart w:id="44" w:name="_Toc340220205"/>
      <w:r>
        <w:t>4.1</w:t>
      </w:r>
      <w:bookmarkEnd w:id="43"/>
      <w:r>
        <w:rPr>
          <w:rFonts w:hint="eastAsia"/>
        </w:rPr>
        <w:t>预测思路及方法</w:t>
      </w:r>
      <w:bookmarkEnd w:id="44"/>
    </w:p>
    <w:p>
      <w:pPr>
        <w:pStyle w:val="44"/>
        <w:spacing w:before="190" w:after="190"/>
        <w:outlineLvl w:val="2"/>
      </w:pPr>
      <w:bookmarkStart w:id="45" w:name="_Toc317843292"/>
      <w:r>
        <w:t>4.1.1</w:t>
      </w:r>
      <w:r>
        <w:rPr>
          <w:rFonts w:hint="eastAsia"/>
        </w:rPr>
        <w:t>预测</w:t>
      </w:r>
      <w:bookmarkEnd w:id="45"/>
      <w:r>
        <w:rPr>
          <w:rFonts w:hint="eastAsia"/>
        </w:rPr>
        <w:t>思路</w:t>
      </w:r>
    </w:p>
    <w:p>
      <w:pPr>
        <w:ind w:firstLine="560"/>
      </w:pPr>
      <w:r>
        <w:rPr>
          <w:rFonts w:hint="eastAsia"/>
        </w:rPr>
        <w:t>分析</w:t>
      </w:r>
      <w:r>
        <w:t>2009</w:t>
      </w:r>
      <w:r>
        <w:rPr>
          <w:rFonts w:hint="eastAsia"/>
        </w:rPr>
        <w:t>年至</w:t>
      </w:r>
      <w:r>
        <w:t>201</w:t>
      </w:r>
      <w:r>
        <w:rPr>
          <w:rFonts w:hint="eastAsia"/>
        </w:rPr>
        <w:t>5年云和县的客运量、客运周转量、货物运输量、货物周转量的历史数据（见表</w:t>
      </w:r>
      <w:r>
        <w:t>4-1</w:t>
      </w:r>
      <w:r>
        <w:rPr>
          <w:rFonts w:hint="eastAsia"/>
        </w:rPr>
        <w:t>），试用</w:t>
      </w:r>
      <w:r>
        <w:t>SPSS</w:t>
      </w:r>
      <w:r>
        <w:rPr>
          <w:rFonts w:hint="eastAsia"/>
        </w:rPr>
        <w:t>专业分析软件对客运量、客运周转量、货物运输量、货物周转量变化进行曲线拟合，并对</w:t>
      </w:r>
      <w:r>
        <w:t>“</w:t>
      </w:r>
      <w:r>
        <w:rPr>
          <w:rFonts w:hint="eastAsia"/>
        </w:rPr>
        <w:t>十三五</w:t>
      </w:r>
      <w:r>
        <w:t>”</w:t>
      </w:r>
      <w:r>
        <w:rPr>
          <w:rFonts w:hint="eastAsia"/>
        </w:rPr>
        <w:t>期间相应数据发展情况进行预测。</w:t>
      </w:r>
    </w:p>
    <w:p>
      <w:pPr>
        <w:pStyle w:val="60"/>
      </w:pPr>
      <w:r>
        <w:rPr>
          <w:rFonts w:hint="eastAsia"/>
        </w:rPr>
        <w:t>表</w:t>
      </w:r>
      <w:r>
        <w:t>4-12009-201</w:t>
      </w:r>
      <w:r>
        <w:rPr>
          <w:rFonts w:hint="eastAsia"/>
        </w:rPr>
        <w:t>5年云和县客、货运量统计表</w:t>
      </w:r>
    </w:p>
    <w:tbl>
      <w:tblPr>
        <w:tblStyle w:val="23"/>
        <w:tblW w:w="8065" w:type="dxa"/>
        <w:jc w:val="center"/>
        <w:tblLayout w:type="autofit"/>
        <w:tblCellMar>
          <w:top w:w="0" w:type="dxa"/>
          <w:left w:w="108" w:type="dxa"/>
          <w:bottom w:w="0" w:type="dxa"/>
          <w:right w:w="108" w:type="dxa"/>
        </w:tblCellMar>
      </w:tblPr>
      <w:tblGrid>
        <w:gridCol w:w="1120"/>
        <w:gridCol w:w="1120"/>
        <w:gridCol w:w="1521"/>
        <w:gridCol w:w="1030"/>
        <w:gridCol w:w="1637"/>
        <w:gridCol w:w="1637"/>
      </w:tblGrid>
      <w:tr>
        <w:tblPrEx>
          <w:tblCellMar>
            <w:top w:w="0" w:type="dxa"/>
            <w:left w:w="108" w:type="dxa"/>
            <w:bottom w:w="0" w:type="dxa"/>
            <w:right w:w="108" w:type="dxa"/>
          </w:tblCellMar>
        </w:tblPrEx>
        <w:trPr>
          <w:trHeight w:val="288" w:hRule="atLeast"/>
          <w:jc w:val="center"/>
        </w:trPr>
        <w:tc>
          <w:tcPr>
            <w:tcW w:w="112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1"/>
              <w:rPr>
                <w:b/>
              </w:rPr>
            </w:pPr>
            <w:r>
              <w:rPr>
                <w:rFonts w:hint="eastAsia"/>
                <w:b/>
              </w:rPr>
              <w:t>年份</w:t>
            </w:r>
          </w:p>
        </w:tc>
        <w:tc>
          <w:tcPr>
            <w:tcW w:w="1120"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pStyle w:val="41"/>
              <w:rPr>
                <w:b/>
              </w:rPr>
            </w:pPr>
            <w:r>
              <w:rPr>
                <w:rFonts w:hint="eastAsia"/>
                <w:b/>
              </w:rPr>
              <w:t>客运量（万人）</w:t>
            </w:r>
          </w:p>
        </w:tc>
        <w:tc>
          <w:tcPr>
            <w:tcW w:w="15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1"/>
              <w:rPr>
                <w:b/>
              </w:rPr>
            </w:pPr>
            <w:r>
              <w:rPr>
                <w:rFonts w:hint="eastAsia"/>
                <w:b/>
              </w:rPr>
              <w:t>客运周转量（万人公里）</w:t>
            </w:r>
          </w:p>
        </w:tc>
        <w:tc>
          <w:tcPr>
            <w:tcW w:w="103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1"/>
              <w:rPr>
                <w:b/>
              </w:rPr>
            </w:pPr>
            <w:r>
              <w:rPr>
                <w:rFonts w:hint="eastAsia"/>
                <w:b/>
              </w:rPr>
              <w:t>货运量（万吨）</w:t>
            </w:r>
          </w:p>
        </w:tc>
        <w:tc>
          <w:tcPr>
            <w:tcW w:w="163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1"/>
              <w:rPr>
                <w:b/>
              </w:rPr>
            </w:pPr>
            <w:r>
              <w:rPr>
                <w:rFonts w:hint="eastAsia"/>
                <w:b/>
              </w:rPr>
              <w:t>货运周转量</w:t>
            </w:r>
          </w:p>
          <w:p>
            <w:pPr>
              <w:pStyle w:val="41"/>
              <w:rPr>
                <w:b/>
              </w:rPr>
            </w:pPr>
            <w:r>
              <w:rPr>
                <w:rFonts w:hint="eastAsia"/>
                <w:b/>
              </w:rPr>
              <w:t>（万吨公里）</w:t>
            </w:r>
          </w:p>
        </w:tc>
        <w:tc>
          <w:tcPr>
            <w:tcW w:w="163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41"/>
              <w:rPr>
                <w:b/>
              </w:rPr>
            </w:pPr>
            <w:r>
              <w:rPr>
                <w:rFonts w:hint="eastAsia"/>
                <w:b/>
              </w:rPr>
              <w:t>机动车数量</w:t>
            </w:r>
          </w:p>
          <w:p>
            <w:pPr>
              <w:pStyle w:val="41"/>
              <w:rPr>
                <w:b/>
              </w:rPr>
            </w:pPr>
            <w:r>
              <w:rPr>
                <w:rFonts w:hint="eastAsia"/>
                <w:b/>
              </w:rPr>
              <w:t>（辆）</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2009</w:t>
            </w:r>
          </w:p>
        </w:tc>
        <w:tc>
          <w:tcPr>
            <w:tcW w:w="1120" w:type="dxa"/>
            <w:tcBorders>
              <w:top w:val="nil"/>
              <w:left w:val="single" w:color="auto" w:sz="4" w:space="0"/>
              <w:bottom w:val="single" w:color="auto" w:sz="4" w:space="0"/>
              <w:right w:val="single" w:color="auto" w:sz="4" w:space="0"/>
            </w:tcBorders>
            <w:noWrap/>
            <w:vAlign w:val="center"/>
          </w:tcPr>
          <w:p>
            <w:pPr>
              <w:pStyle w:val="41"/>
            </w:pPr>
            <w:r>
              <w:rPr>
                <w:color w:val="000000"/>
                <w:shd w:val="clear" w:color="auto" w:fill="FFFFFF"/>
              </w:rPr>
              <w:t>232</w:t>
            </w:r>
          </w:p>
        </w:tc>
        <w:tc>
          <w:tcPr>
            <w:tcW w:w="1521" w:type="dxa"/>
            <w:tcBorders>
              <w:top w:val="nil"/>
              <w:left w:val="single" w:color="auto" w:sz="4" w:space="0"/>
              <w:bottom w:val="single" w:color="auto" w:sz="4" w:space="0"/>
              <w:right w:val="single" w:color="auto" w:sz="4" w:space="0"/>
            </w:tcBorders>
          </w:tcPr>
          <w:p>
            <w:pPr>
              <w:pStyle w:val="41"/>
            </w:pPr>
            <w:r>
              <w:rPr>
                <w:color w:val="000000"/>
                <w:shd w:val="clear" w:color="auto" w:fill="FFFFFF"/>
              </w:rPr>
              <w:t>7756</w:t>
            </w:r>
          </w:p>
        </w:tc>
        <w:tc>
          <w:tcPr>
            <w:tcW w:w="1030" w:type="dxa"/>
            <w:tcBorders>
              <w:top w:val="nil"/>
              <w:left w:val="single" w:color="auto" w:sz="4" w:space="0"/>
              <w:bottom w:val="single" w:color="auto" w:sz="4" w:space="0"/>
              <w:right w:val="single" w:color="auto" w:sz="4" w:space="0"/>
            </w:tcBorders>
          </w:tcPr>
          <w:p>
            <w:pPr>
              <w:pStyle w:val="41"/>
            </w:pPr>
            <w:r>
              <w:rPr>
                <w:color w:val="000000"/>
                <w:shd w:val="clear" w:color="auto" w:fill="FFFFFF"/>
              </w:rPr>
              <w:t>180</w:t>
            </w:r>
          </w:p>
        </w:tc>
        <w:tc>
          <w:tcPr>
            <w:tcW w:w="1637" w:type="dxa"/>
            <w:tcBorders>
              <w:top w:val="nil"/>
              <w:left w:val="single" w:color="auto" w:sz="4" w:space="0"/>
              <w:bottom w:val="single" w:color="auto" w:sz="4" w:space="0"/>
              <w:right w:val="single" w:color="auto" w:sz="4" w:space="0"/>
            </w:tcBorders>
          </w:tcPr>
          <w:p>
            <w:pPr>
              <w:pStyle w:val="41"/>
            </w:pPr>
            <w:r>
              <w:rPr>
                <w:color w:val="000000"/>
                <w:shd w:val="clear" w:color="auto" w:fill="FFFFFF"/>
              </w:rPr>
              <w:t>12649</w:t>
            </w:r>
          </w:p>
        </w:tc>
        <w:tc>
          <w:tcPr>
            <w:tcW w:w="1637" w:type="dxa"/>
            <w:tcBorders>
              <w:top w:val="nil"/>
              <w:left w:val="single" w:color="auto" w:sz="4" w:space="0"/>
              <w:bottom w:val="single" w:color="auto" w:sz="4" w:space="0"/>
              <w:right w:val="single" w:color="auto" w:sz="4" w:space="0"/>
            </w:tcBorders>
          </w:tcPr>
          <w:p>
            <w:pPr>
              <w:pStyle w:val="41"/>
              <w:rPr>
                <w:color w:val="000000"/>
                <w:shd w:val="clear" w:color="auto" w:fill="FFFFFF"/>
              </w:rPr>
            </w:pPr>
            <w:r>
              <w:rPr>
                <w:color w:val="000000"/>
                <w:shd w:val="clear" w:color="auto" w:fill="FFFFFF"/>
              </w:rPr>
              <w:t>-</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2010</w:t>
            </w:r>
          </w:p>
        </w:tc>
        <w:tc>
          <w:tcPr>
            <w:tcW w:w="1120" w:type="dxa"/>
            <w:tcBorders>
              <w:top w:val="nil"/>
              <w:left w:val="single" w:color="auto" w:sz="4" w:space="0"/>
              <w:bottom w:val="single" w:color="auto" w:sz="4" w:space="0"/>
              <w:right w:val="single" w:color="auto" w:sz="4" w:space="0"/>
            </w:tcBorders>
            <w:noWrap/>
            <w:vAlign w:val="center"/>
          </w:tcPr>
          <w:p>
            <w:pPr>
              <w:pStyle w:val="41"/>
            </w:pPr>
            <w:r>
              <w:rPr>
                <w:color w:val="000000"/>
                <w:shd w:val="clear" w:color="auto" w:fill="FFFFFF"/>
              </w:rPr>
              <w:t>237</w:t>
            </w:r>
          </w:p>
        </w:tc>
        <w:tc>
          <w:tcPr>
            <w:tcW w:w="1521" w:type="dxa"/>
            <w:tcBorders>
              <w:top w:val="nil"/>
              <w:left w:val="single" w:color="auto" w:sz="4" w:space="0"/>
              <w:bottom w:val="single" w:color="auto" w:sz="4" w:space="0"/>
              <w:right w:val="single" w:color="auto" w:sz="4" w:space="0"/>
            </w:tcBorders>
          </w:tcPr>
          <w:p>
            <w:pPr>
              <w:pStyle w:val="41"/>
            </w:pPr>
            <w:r>
              <w:rPr>
                <w:color w:val="000000"/>
                <w:shd w:val="clear" w:color="auto" w:fill="FFFFFF"/>
              </w:rPr>
              <w:t>7819</w:t>
            </w:r>
          </w:p>
        </w:tc>
        <w:tc>
          <w:tcPr>
            <w:tcW w:w="1030" w:type="dxa"/>
            <w:tcBorders>
              <w:top w:val="nil"/>
              <w:left w:val="single" w:color="auto" w:sz="4" w:space="0"/>
              <w:bottom w:val="single" w:color="auto" w:sz="4" w:space="0"/>
              <w:right w:val="single" w:color="auto" w:sz="4" w:space="0"/>
            </w:tcBorders>
          </w:tcPr>
          <w:p>
            <w:pPr>
              <w:pStyle w:val="41"/>
            </w:pPr>
            <w:r>
              <w:rPr>
                <w:color w:val="000000"/>
                <w:shd w:val="clear" w:color="auto" w:fill="FFFFFF"/>
              </w:rPr>
              <w:t>194</w:t>
            </w:r>
          </w:p>
        </w:tc>
        <w:tc>
          <w:tcPr>
            <w:tcW w:w="1637" w:type="dxa"/>
            <w:tcBorders>
              <w:top w:val="nil"/>
              <w:left w:val="single" w:color="auto" w:sz="4" w:space="0"/>
              <w:bottom w:val="single" w:color="auto" w:sz="4" w:space="0"/>
              <w:right w:val="single" w:color="auto" w:sz="4" w:space="0"/>
            </w:tcBorders>
          </w:tcPr>
          <w:p>
            <w:pPr>
              <w:pStyle w:val="41"/>
            </w:pPr>
            <w:r>
              <w:rPr>
                <w:color w:val="000000"/>
                <w:shd w:val="clear" w:color="auto" w:fill="FFFFFF"/>
              </w:rPr>
              <w:t>15264</w:t>
            </w:r>
          </w:p>
        </w:tc>
        <w:tc>
          <w:tcPr>
            <w:tcW w:w="1637" w:type="dxa"/>
            <w:tcBorders>
              <w:top w:val="nil"/>
              <w:left w:val="single" w:color="auto" w:sz="4" w:space="0"/>
              <w:bottom w:val="single" w:color="auto" w:sz="4" w:space="0"/>
              <w:right w:val="single" w:color="auto" w:sz="4" w:space="0"/>
            </w:tcBorders>
          </w:tcPr>
          <w:p>
            <w:pPr>
              <w:pStyle w:val="41"/>
              <w:rPr>
                <w:color w:val="000000"/>
                <w:shd w:val="clear" w:color="auto" w:fill="FFFFFF"/>
              </w:rPr>
            </w:pPr>
            <w:r>
              <w:rPr>
                <w:color w:val="000000"/>
                <w:shd w:val="clear" w:color="auto" w:fill="FFFFFF"/>
              </w:rPr>
              <w:t>-</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2011</w:t>
            </w:r>
          </w:p>
        </w:tc>
        <w:tc>
          <w:tcPr>
            <w:tcW w:w="1120" w:type="dxa"/>
            <w:tcBorders>
              <w:top w:val="nil"/>
              <w:left w:val="single" w:color="auto" w:sz="4" w:space="0"/>
              <w:bottom w:val="single" w:color="auto" w:sz="4" w:space="0"/>
              <w:right w:val="single" w:color="auto" w:sz="4" w:space="0"/>
            </w:tcBorders>
            <w:noWrap/>
            <w:vAlign w:val="center"/>
          </w:tcPr>
          <w:p>
            <w:pPr>
              <w:pStyle w:val="41"/>
            </w:pPr>
            <w:r>
              <w:t>223</w:t>
            </w:r>
          </w:p>
        </w:tc>
        <w:tc>
          <w:tcPr>
            <w:tcW w:w="1521" w:type="dxa"/>
            <w:tcBorders>
              <w:top w:val="nil"/>
              <w:left w:val="single" w:color="auto" w:sz="4" w:space="0"/>
              <w:bottom w:val="single" w:color="auto" w:sz="4" w:space="0"/>
              <w:right w:val="single" w:color="auto" w:sz="4" w:space="0"/>
            </w:tcBorders>
          </w:tcPr>
          <w:p>
            <w:pPr>
              <w:pStyle w:val="41"/>
            </w:pPr>
            <w:r>
              <w:t>7050</w:t>
            </w:r>
          </w:p>
        </w:tc>
        <w:tc>
          <w:tcPr>
            <w:tcW w:w="1030" w:type="dxa"/>
            <w:tcBorders>
              <w:top w:val="nil"/>
              <w:left w:val="single" w:color="auto" w:sz="4" w:space="0"/>
              <w:bottom w:val="single" w:color="auto" w:sz="4" w:space="0"/>
              <w:right w:val="single" w:color="auto" w:sz="4" w:space="0"/>
            </w:tcBorders>
          </w:tcPr>
          <w:p>
            <w:pPr>
              <w:pStyle w:val="41"/>
            </w:pPr>
            <w:r>
              <w:t>144</w:t>
            </w:r>
          </w:p>
        </w:tc>
        <w:tc>
          <w:tcPr>
            <w:tcW w:w="1637" w:type="dxa"/>
            <w:tcBorders>
              <w:top w:val="nil"/>
              <w:left w:val="single" w:color="auto" w:sz="4" w:space="0"/>
              <w:bottom w:val="single" w:color="auto" w:sz="4" w:space="0"/>
              <w:right w:val="single" w:color="auto" w:sz="4" w:space="0"/>
            </w:tcBorders>
          </w:tcPr>
          <w:p>
            <w:pPr>
              <w:pStyle w:val="41"/>
            </w:pPr>
            <w:r>
              <w:t>13315</w:t>
            </w:r>
          </w:p>
        </w:tc>
        <w:tc>
          <w:tcPr>
            <w:tcW w:w="1637" w:type="dxa"/>
            <w:tcBorders>
              <w:top w:val="nil"/>
              <w:left w:val="single" w:color="auto" w:sz="4" w:space="0"/>
              <w:bottom w:val="single" w:color="auto" w:sz="4" w:space="0"/>
              <w:right w:val="single" w:color="auto" w:sz="4" w:space="0"/>
            </w:tcBorders>
          </w:tcPr>
          <w:p>
            <w:pPr>
              <w:pStyle w:val="41"/>
            </w:pPr>
            <w:r>
              <w:rPr>
                <w:rFonts w:hint="eastAsia"/>
                <w:bCs/>
              </w:rPr>
              <w:t>8747</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2012</w:t>
            </w:r>
          </w:p>
        </w:tc>
        <w:tc>
          <w:tcPr>
            <w:tcW w:w="1120" w:type="dxa"/>
            <w:tcBorders>
              <w:top w:val="nil"/>
              <w:left w:val="single" w:color="auto" w:sz="4" w:space="0"/>
              <w:bottom w:val="single" w:color="auto" w:sz="4" w:space="0"/>
              <w:right w:val="single" w:color="auto" w:sz="4" w:space="0"/>
            </w:tcBorders>
            <w:noWrap/>
            <w:vAlign w:val="center"/>
          </w:tcPr>
          <w:p>
            <w:pPr>
              <w:pStyle w:val="41"/>
            </w:pPr>
            <w:r>
              <w:t>223</w:t>
            </w:r>
          </w:p>
        </w:tc>
        <w:tc>
          <w:tcPr>
            <w:tcW w:w="1521" w:type="dxa"/>
            <w:tcBorders>
              <w:top w:val="nil"/>
              <w:left w:val="single" w:color="auto" w:sz="4" w:space="0"/>
              <w:bottom w:val="single" w:color="auto" w:sz="4" w:space="0"/>
              <w:right w:val="single" w:color="auto" w:sz="4" w:space="0"/>
            </w:tcBorders>
          </w:tcPr>
          <w:p>
            <w:pPr>
              <w:pStyle w:val="41"/>
            </w:pPr>
            <w:r>
              <w:t>7080</w:t>
            </w:r>
          </w:p>
        </w:tc>
        <w:tc>
          <w:tcPr>
            <w:tcW w:w="1030" w:type="dxa"/>
            <w:tcBorders>
              <w:top w:val="nil"/>
              <w:left w:val="single" w:color="auto" w:sz="4" w:space="0"/>
              <w:bottom w:val="single" w:color="auto" w:sz="4" w:space="0"/>
              <w:right w:val="single" w:color="auto" w:sz="4" w:space="0"/>
            </w:tcBorders>
          </w:tcPr>
          <w:p>
            <w:pPr>
              <w:pStyle w:val="41"/>
            </w:pPr>
            <w:r>
              <w:t>162</w:t>
            </w:r>
          </w:p>
        </w:tc>
        <w:tc>
          <w:tcPr>
            <w:tcW w:w="1637" w:type="dxa"/>
            <w:tcBorders>
              <w:top w:val="nil"/>
              <w:left w:val="single" w:color="auto" w:sz="4" w:space="0"/>
              <w:bottom w:val="single" w:color="auto" w:sz="4" w:space="0"/>
              <w:right w:val="single" w:color="auto" w:sz="4" w:space="0"/>
            </w:tcBorders>
          </w:tcPr>
          <w:p>
            <w:pPr>
              <w:pStyle w:val="41"/>
            </w:pPr>
            <w:r>
              <w:t>15797</w:t>
            </w:r>
          </w:p>
        </w:tc>
        <w:tc>
          <w:tcPr>
            <w:tcW w:w="1637" w:type="dxa"/>
            <w:tcBorders>
              <w:top w:val="nil"/>
              <w:left w:val="single" w:color="auto" w:sz="4" w:space="0"/>
              <w:bottom w:val="single" w:color="auto" w:sz="4" w:space="0"/>
              <w:right w:val="single" w:color="auto" w:sz="4" w:space="0"/>
            </w:tcBorders>
          </w:tcPr>
          <w:p>
            <w:pPr>
              <w:pStyle w:val="41"/>
            </w:pPr>
            <w:r>
              <w:rPr>
                <w:rFonts w:hint="eastAsia"/>
              </w:rPr>
              <w:t>10386</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2013</w:t>
            </w:r>
          </w:p>
        </w:tc>
        <w:tc>
          <w:tcPr>
            <w:tcW w:w="1120" w:type="dxa"/>
            <w:tcBorders>
              <w:top w:val="nil"/>
              <w:left w:val="single" w:color="auto" w:sz="4" w:space="0"/>
              <w:bottom w:val="single" w:color="auto" w:sz="4" w:space="0"/>
              <w:right w:val="single" w:color="auto" w:sz="4" w:space="0"/>
            </w:tcBorders>
            <w:noWrap/>
            <w:vAlign w:val="center"/>
          </w:tcPr>
          <w:p>
            <w:pPr>
              <w:pStyle w:val="41"/>
            </w:pPr>
            <w:r>
              <w:t>223</w:t>
            </w:r>
          </w:p>
        </w:tc>
        <w:tc>
          <w:tcPr>
            <w:tcW w:w="1521" w:type="dxa"/>
            <w:tcBorders>
              <w:top w:val="nil"/>
              <w:left w:val="single" w:color="auto" w:sz="4" w:space="0"/>
              <w:bottom w:val="single" w:color="auto" w:sz="4" w:space="0"/>
              <w:right w:val="single" w:color="auto" w:sz="4" w:space="0"/>
            </w:tcBorders>
          </w:tcPr>
          <w:p>
            <w:pPr>
              <w:pStyle w:val="41"/>
            </w:pPr>
            <w:r>
              <w:t>7181</w:t>
            </w:r>
          </w:p>
        </w:tc>
        <w:tc>
          <w:tcPr>
            <w:tcW w:w="1030" w:type="dxa"/>
            <w:tcBorders>
              <w:top w:val="nil"/>
              <w:left w:val="single" w:color="auto" w:sz="4" w:space="0"/>
              <w:bottom w:val="single" w:color="auto" w:sz="4" w:space="0"/>
              <w:right w:val="single" w:color="auto" w:sz="4" w:space="0"/>
            </w:tcBorders>
          </w:tcPr>
          <w:p>
            <w:pPr>
              <w:pStyle w:val="41"/>
            </w:pPr>
            <w:r>
              <w:t>167</w:t>
            </w:r>
          </w:p>
        </w:tc>
        <w:tc>
          <w:tcPr>
            <w:tcW w:w="1637" w:type="dxa"/>
            <w:tcBorders>
              <w:top w:val="nil"/>
              <w:left w:val="single" w:color="auto" w:sz="4" w:space="0"/>
              <w:bottom w:val="single" w:color="auto" w:sz="4" w:space="0"/>
              <w:right w:val="single" w:color="auto" w:sz="4" w:space="0"/>
            </w:tcBorders>
          </w:tcPr>
          <w:p>
            <w:pPr>
              <w:pStyle w:val="41"/>
            </w:pPr>
            <w:r>
              <w:t>15904</w:t>
            </w:r>
          </w:p>
        </w:tc>
        <w:tc>
          <w:tcPr>
            <w:tcW w:w="1637" w:type="dxa"/>
            <w:tcBorders>
              <w:top w:val="nil"/>
              <w:left w:val="single" w:color="auto" w:sz="4" w:space="0"/>
              <w:bottom w:val="single" w:color="auto" w:sz="4" w:space="0"/>
              <w:right w:val="single" w:color="auto" w:sz="4" w:space="0"/>
            </w:tcBorders>
          </w:tcPr>
          <w:p>
            <w:pPr>
              <w:pStyle w:val="41"/>
            </w:pPr>
            <w:r>
              <w:rPr>
                <w:rFonts w:hint="eastAsia"/>
                <w:bCs/>
              </w:rPr>
              <w:t>12269</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t>2014</w:t>
            </w:r>
          </w:p>
        </w:tc>
        <w:tc>
          <w:tcPr>
            <w:tcW w:w="1120" w:type="dxa"/>
            <w:tcBorders>
              <w:top w:val="nil"/>
              <w:left w:val="single" w:color="auto" w:sz="4" w:space="0"/>
              <w:bottom w:val="single" w:color="auto" w:sz="4" w:space="0"/>
              <w:right w:val="single" w:color="auto" w:sz="4" w:space="0"/>
            </w:tcBorders>
            <w:noWrap/>
            <w:vAlign w:val="center"/>
          </w:tcPr>
          <w:p>
            <w:pPr>
              <w:pStyle w:val="41"/>
            </w:pPr>
            <w:r>
              <w:t>175</w:t>
            </w:r>
          </w:p>
        </w:tc>
        <w:tc>
          <w:tcPr>
            <w:tcW w:w="1521" w:type="dxa"/>
            <w:tcBorders>
              <w:top w:val="nil"/>
              <w:left w:val="single" w:color="auto" w:sz="4" w:space="0"/>
              <w:bottom w:val="single" w:color="auto" w:sz="4" w:space="0"/>
              <w:right w:val="single" w:color="auto" w:sz="4" w:space="0"/>
            </w:tcBorders>
          </w:tcPr>
          <w:p>
            <w:pPr>
              <w:pStyle w:val="41"/>
            </w:pPr>
            <w:r>
              <w:t>6361</w:t>
            </w:r>
          </w:p>
        </w:tc>
        <w:tc>
          <w:tcPr>
            <w:tcW w:w="1030" w:type="dxa"/>
            <w:tcBorders>
              <w:top w:val="nil"/>
              <w:left w:val="single" w:color="auto" w:sz="4" w:space="0"/>
              <w:bottom w:val="single" w:color="auto" w:sz="4" w:space="0"/>
              <w:right w:val="single" w:color="auto" w:sz="4" w:space="0"/>
            </w:tcBorders>
          </w:tcPr>
          <w:p>
            <w:pPr>
              <w:pStyle w:val="41"/>
            </w:pPr>
            <w:r>
              <w:t>182</w:t>
            </w:r>
          </w:p>
        </w:tc>
        <w:tc>
          <w:tcPr>
            <w:tcW w:w="1637" w:type="dxa"/>
            <w:tcBorders>
              <w:top w:val="nil"/>
              <w:left w:val="single" w:color="auto" w:sz="4" w:space="0"/>
              <w:bottom w:val="single" w:color="auto" w:sz="4" w:space="0"/>
              <w:right w:val="single" w:color="auto" w:sz="4" w:space="0"/>
            </w:tcBorders>
          </w:tcPr>
          <w:p>
            <w:pPr>
              <w:pStyle w:val="41"/>
            </w:pPr>
            <w:r>
              <w:t>16400</w:t>
            </w:r>
          </w:p>
        </w:tc>
        <w:tc>
          <w:tcPr>
            <w:tcW w:w="1637" w:type="dxa"/>
            <w:tcBorders>
              <w:top w:val="nil"/>
              <w:left w:val="single" w:color="auto" w:sz="4" w:space="0"/>
              <w:bottom w:val="single" w:color="auto" w:sz="4" w:space="0"/>
              <w:right w:val="single" w:color="auto" w:sz="4" w:space="0"/>
            </w:tcBorders>
          </w:tcPr>
          <w:p>
            <w:pPr>
              <w:pStyle w:val="41"/>
            </w:pPr>
            <w:r>
              <w:rPr>
                <w:bCs/>
              </w:rPr>
              <w:t>13</w:t>
            </w:r>
            <w:r>
              <w:rPr>
                <w:rFonts w:hint="eastAsia"/>
                <w:bCs/>
              </w:rPr>
              <w:t>731</w:t>
            </w:r>
          </w:p>
        </w:tc>
      </w:tr>
      <w:tr>
        <w:tblPrEx>
          <w:tblCellMar>
            <w:top w:w="0" w:type="dxa"/>
            <w:left w:w="108" w:type="dxa"/>
            <w:bottom w:w="0" w:type="dxa"/>
            <w:right w:w="108" w:type="dxa"/>
          </w:tblCellMar>
        </w:tblPrEx>
        <w:trPr>
          <w:trHeight w:val="288" w:hRule="atLeast"/>
          <w:jc w:val="center"/>
        </w:trPr>
        <w:tc>
          <w:tcPr>
            <w:tcW w:w="1120" w:type="dxa"/>
            <w:tcBorders>
              <w:top w:val="nil"/>
              <w:left w:val="single" w:color="auto" w:sz="4" w:space="0"/>
              <w:bottom w:val="single" w:color="auto" w:sz="4" w:space="0"/>
              <w:right w:val="single" w:color="auto" w:sz="4" w:space="0"/>
            </w:tcBorders>
          </w:tcPr>
          <w:p>
            <w:pPr>
              <w:pStyle w:val="41"/>
            </w:pPr>
            <w:r>
              <w:rPr>
                <w:rFonts w:hint="eastAsia"/>
              </w:rPr>
              <w:t>2015</w:t>
            </w:r>
          </w:p>
        </w:tc>
        <w:tc>
          <w:tcPr>
            <w:tcW w:w="1120" w:type="dxa"/>
            <w:tcBorders>
              <w:top w:val="nil"/>
              <w:left w:val="single" w:color="auto" w:sz="4" w:space="0"/>
              <w:bottom w:val="single" w:color="auto" w:sz="4" w:space="0"/>
              <w:right w:val="single" w:color="auto" w:sz="4" w:space="0"/>
            </w:tcBorders>
            <w:noWrap/>
            <w:vAlign w:val="center"/>
          </w:tcPr>
          <w:p>
            <w:pPr>
              <w:pStyle w:val="41"/>
            </w:pPr>
            <w:r>
              <w:rPr>
                <w:rFonts w:hint="eastAsia"/>
              </w:rPr>
              <w:t>173</w:t>
            </w:r>
          </w:p>
        </w:tc>
        <w:tc>
          <w:tcPr>
            <w:tcW w:w="1521" w:type="dxa"/>
            <w:tcBorders>
              <w:top w:val="nil"/>
              <w:left w:val="single" w:color="auto" w:sz="4" w:space="0"/>
              <w:bottom w:val="single" w:color="auto" w:sz="4" w:space="0"/>
              <w:right w:val="single" w:color="auto" w:sz="4" w:space="0"/>
            </w:tcBorders>
          </w:tcPr>
          <w:p>
            <w:pPr>
              <w:pStyle w:val="41"/>
            </w:pPr>
            <w:r>
              <w:rPr>
                <w:rFonts w:hint="eastAsia"/>
              </w:rPr>
              <w:t>6260</w:t>
            </w:r>
          </w:p>
        </w:tc>
        <w:tc>
          <w:tcPr>
            <w:tcW w:w="1030" w:type="dxa"/>
            <w:tcBorders>
              <w:top w:val="nil"/>
              <w:left w:val="single" w:color="auto" w:sz="4" w:space="0"/>
              <w:bottom w:val="single" w:color="auto" w:sz="4" w:space="0"/>
              <w:right w:val="single" w:color="auto" w:sz="4" w:space="0"/>
            </w:tcBorders>
          </w:tcPr>
          <w:p>
            <w:pPr>
              <w:pStyle w:val="41"/>
              <w:rPr>
                <w:bCs/>
              </w:rPr>
            </w:pPr>
            <w:r>
              <w:rPr>
                <w:rFonts w:hint="eastAsia"/>
                <w:bCs/>
              </w:rPr>
              <w:t>186</w:t>
            </w:r>
          </w:p>
        </w:tc>
        <w:tc>
          <w:tcPr>
            <w:tcW w:w="1637" w:type="dxa"/>
            <w:tcBorders>
              <w:top w:val="nil"/>
              <w:left w:val="single" w:color="auto" w:sz="4" w:space="0"/>
              <w:bottom w:val="single" w:color="auto" w:sz="4" w:space="0"/>
              <w:right w:val="single" w:color="auto" w:sz="4" w:space="0"/>
            </w:tcBorders>
          </w:tcPr>
          <w:p>
            <w:pPr>
              <w:pStyle w:val="41"/>
              <w:rPr>
                <w:bCs/>
              </w:rPr>
            </w:pPr>
            <w:r>
              <w:rPr>
                <w:rFonts w:hint="eastAsia"/>
                <w:bCs/>
              </w:rPr>
              <w:t>16810</w:t>
            </w:r>
          </w:p>
        </w:tc>
        <w:tc>
          <w:tcPr>
            <w:tcW w:w="1637" w:type="dxa"/>
            <w:tcBorders>
              <w:top w:val="nil"/>
              <w:left w:val="single" w:color="auto" w:sz="4" w:space="0"/>
              <w:bottom w:val="single" w:color="auto" w:sz="4" w:space="0"/>
              <w:right w:val="single" w:color="auto" w:sz="4" w:space="0"/>
            </w:tcBorders>
          </w:tcPr>
          <w:p>
            <w:pPr>
              <w:pStyle w:val="41"/>
            </w:pPr>
            <w:r>
              <w:rPr>
                <w:rFonts w:hint="eastAsia"/>
              </w:rPr>
              <w:t>14966</w:t>
            </w:r>
          </w:p>
        </w:tc>
      </w:tr>
    </w:tbl>
    <w:p>
      <w:pPr>
        <w:pStyle w:val="44"/>
        <w:spacing w:before="190" w:after="190"/>
        <w:outlineLvl w:val="2"/>
      </w:pPr>
      <w:r>
        <w:rPr>
          <w:rFonts w:hint="eastAsia"/>
        </w:rPr>
        <w:t>4.1.2预测方法</w:t>
      </w:r>
    </w:p>
    <w:p>
      <w:pPr>
        <w:ind w:firstLine="560"/>
      </w:pPr>
      <w:r>
        <w:rPr>
          <w:rFonts w:hint="eastAsia"/>
        </w:rPr>
        <w:t>数据的预测方法有多种，由于各种方法的原理不同，预测的结果也有较大的区别，为了提高预测的有效性，我们采用专业数据分析软件</w:t>
      </w:r>
      <w:r>
        <w:t>SPSS</w:t>
      </w:r>
      <w:r>
        <w:rPr>
          <w:rFonts w:hint="eastAsia"/>
        </w:rPr>
        <w:t>分别运用一元一次、一元二次、一元三次、复合、对数、指数、</w:t>
      </w:r>
      <w:r>
        <w:t>S</w:t>
      </w:r>
      <w:r>
        <w:rPr>
          <w:rFonts w:hint="eastAsia"/>
        </w:rPr>
        <w:t>分布等曲线回归预测模型进行客运量、客运周转量、货物运输量、货物周转量、机动车数量实有数的预测分析。</w:t>
      </w:r>
    </w:p>
    <w:p>
      <w:pPr>
        <w:pStyle w:val="3"/>
        <w:snapToGrid w:val="0"/>
        <w:spacing w:before="190" w:after="190" w:line="240" w:lineRule="auto"/>
      </w:pPr>
      <w:bookmarkStart w:id="46" w:name="_Toc340220206"/>
      <w:bookmarkStart w:id="47" w:name="_Toc317843293"/>
      <w:r>
        <w:t>4.</w:t>
      </w:r>
      <w:r>
        <w:rPr>
          <w:rFonts w:hint="eastAsia"/>
        </w:rPr>
        <w:t>2预测步骤及结果</w:t>
      </w:r>
      <w:bookmarkEnd w:id="46"/>
      <w:bookmarkEnd w:id="47"/>
    </w:p>
    <w:p>
      <w:pPr>
        <w:ind w:firstLine="560"/>
      </w:pPr>
      <w:r>
        <w:rPr>
          <w:rFonts w:hint="eastAsia"/>
        </w:rPr>
        <w:t>根据上述数学模型，以函数曲线的拟合度及曲线发展趋势为评价指标，确定最优的预测模型，建立预测方程，计算其预测数据。</w:t>
      </w:r>
    </w:p>
    <w:p>
      <w:pPr>
        <w:ind w:firstLine="0" w:firstLineChars="0"/>
        <w:rPr>
          <w:rFonts w:ascii="宋体" w:hAnsi="宋体"/>
          <w:b/>
          <w:szCs w:val="28"/>
        </w:rPr>
      </w:pPr>
      <w:r>
        <w:rPr>
          <w:rFonts w:hint="eastAsia" w:ascii="宋体" w:hAnsi="宋体"/>
          <w:b/>
          <w:szCs w:val="28"/>
        </w:rPr>
        <w:t>（</w:t>
      </w:r>
      <w:r>
        <w:rPr>
          <w:rFonts w:ascii="宋体" w:hAnsi="宋体"/>
          <w:b/>
          <w:szCs w:val="28"/>
        </w:rPr>
        <w:t>1</w:t>
      </w:r>
      <w:r>
        <w:rPr>
          <w:rFonts w:hint="eastAsia" w:ascii="宋体" w:hAnsi="宋体"/>
          <w:b/>
          <w:szCs w:val="28"/>
        </w:rPr>
        <w:t>）客运量及客运周转量预测</w:t>
      </w:r>
    </w:p>
    <w:p>
      <w:pPr>
        <w:ind w:firstLine="600" w:firstLineChars="0"/>
        <w:rPr>
          <w:rFonts w:ascii="宋体" w:hAnsi="宋体"/>
          <w:b/>
          <w:szCs w:val="28"/>
        </w:rPr>
      </w:pPr>
      <w:r>
        <w:rPr>
          <w:rFonts w:hint="eastAsia" w:ascii="宋体" w:hAnsi="宋体"/>
          <w:b/>
          <w:szCs w:val="28"/>
        </w:rPr>
        <w:t>——客运量</w:t>
      </w:r>
    </w:p>
    <w:p>
      <w:pPr>
        <w:ind w:firstLine="560"/>
      </w:pPr>
      <w:r>
        <w:rPr>
          <w:rFonts w:hint="eastAsia"/>
        </w:rPr>
        <w:t>首先通过分析</w:t>
      </w:r>
      <w:r>
        <w:t>2009-2015</w:t>
      </w:r>
      <w:r>
        <w:rPr>
          <w:rFonts w:hint="eastAsia"/>
        </w:rPr>
        <w:t>年云和的客运量统计数据，然后采用</w:t>
      </w:r>
      <w:r>
        <w:t>SPSS</w:t>
      </w:r>
      <w:r>
        <w:rPr>
          <w:rFonts w:hint="eastAsia"/>
        </w:rPr>
        <w:t>软件对云和县的客运量分别运用一元一次、一元二次、一元三次、复合、对数、指数、</w:t>
      </w:r>
      <w:r>
        <w:t>S</w:t>
      </w:r>
      <w:r>
        <w:rPr>
          <w:rFonts w:hint="eastAsia"/>
        </w:rPr>
        <w:t>分布等回归函数进行拟合，得到其中拟合度最优的曲线为一元三次分布函数。对比函数的拟合评价指标，得到一元三次函数预测模型拟合度最高（</w:t>
      </w:r>
      <w:r>
        <w:t>R</w:t>
      </w:r>
      <w:r>
        <w:rPr>
          <w:vertAlign w:val="superscript"/>
        </w:rPr>
        <w:t>2</w:t>
      </w:r>
      <w:r>
        <w:t>=0.8</w:t>
      </w:r>
      <w:r>
        <w:rPr>
          <w:rFonts w:hint="eastAsia"/>
        </w:rPr>
        <w:t>74），具体模型为：</w:t>
      </w:r>
      <w:r>
        <w:rPr>
          <w:rFonts w:ascii="宋体"/>
          <w:position w:val="-10"/>
          <w:szCs w:val="28"/>
        </w:rPr>
        <w:drawing>
          <wp:inline distT="0" distB="0" distL="0" distR="0">
            <wp:extent cx="2150745" cy="236855"/>
            <wp:effectExtent l="0" t="0" r="1905" b="0"/>
            <wp:docPr id="8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2150745" cy="236855"/>
                    </a:xfrm>
                    <a:prstGeom prst="rect">
                      <a:avLst/>
                    </a:prstGeom>
                    <a:noFill/>
                    <a:ln>
                      <a:noFill/>
                    </a:ln>
                  </pic:spPr>
                </pic:pic>
              </a:graphicData>
            </a:graphic>
          </wp:inline>
        </w:drawing>
      </w:r>
      <w:r>
        <w:rPr>
          <w:rFonts w:hint="eastAsia"/>
        </w:rPr>
        <w:t>。</w:t>
      </w:r>
    </w:p>
    <w:p>
      <w:pPr>
        <w:ind w:firstLine="560"/>
        <w:rPr>
          <w:rFonts w:ascii="宋体"/>
          <w:b/>
          <w:szCs w:val="28"/>
        </w:rPr>
      </w:pPr>
      <w:r>
        <w:rPr>
          <w:rFonts w:hint="eastAsia" w:ascii="宋体" w:hAnsi="宋体"/>
          <w:szCs w:val="28"/>
        </w:rPr>
        <w:t>根据模型预测，云和县“十三五”期间客运量呈现逐渐下降的趋势。但</w:t>
      </w:r>
      <w:r>
        <w:rPr>
          <w:rFonts w:hint="eastAsia"/>
        </w:rPr>
        <w:t>近几年来，随着私家车数量的不断增多，以及道路客运受到铁路等其他运输方式的冲击，客运量</w:t>
      </w:r>
      <w:r>
        <w:t>有所下降</w:t>
      </w:r>
      <w:r>
        <w:rPr>
          <w:rFonts w:hint="eastAsia"/>
        </w:rPr>
        <w:t>。然而“十三五”期间，</w:t>
      </w:r>
      <w:r>
        <w:t>随着</w:t>
      </w:r>
      <w:r>
        <w:rPr>
          <w:rFonts w:hint="eastAsia"/>
        </w:rPr>
        <w:t>金丽温高铁开通，长途道路运输的客运量将会受到更大的冲击，但从另一方面来看综合运输体系的发展也会为道路旅客运输带来机遇。随着金丽温高铁开通，短途中转旅客客运量势必会有所上升。高铁和道路客运既存在竞争也存在相互依存的关系。道路旅客运输弥补了铁路运输无法实现“门到门”服务的短板。因此，高铁的开通刺激了乘客商贸、人际交往、旅游等出行需求，也会给云和带来更多的出行需求。另一方面，随着云和旅游产业的大力发展，发展道路旅游客运也已经成为“十三五”期间云和县道路旅客运输的新亮点。根据2010-2014年云和县全年接待国内外游客量来看，增长十分迅速，从2010年的109.36万人次上涨到2014年的351.47万人次，四年时间上涨了221.39%，预计到2020年，云和县国内外游客数量将达到1243万人。</w:t>
      </w:r>
    </w:p>
    <w:p>
      <w:pPr>
        <w:pStyle w:val="60"/>
      </w:pPr>
      <w:r>
        <w:rPr>
          <w:rFonts w:hint="eastAsia"/>
        </w:rPr>
        <w:t>表</w:t>
      </w:r>
      <w:r>
        <w:t>4-</w:t>
      </w:r>
      <w:r>
        <w:rPr>
          <w:rFonts w:hint="eastAsia"/>
        </w:rPr>
        <w:t>2云和县国内外游客数量预测分析表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59"/>
        <w:gridCol w:w="1418"/>
        <w:gridCol w:w="1640"/>
        <w:gridCol w:w="143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shd w:val="clear" w:color="auto" w:fill="D8D8D8" w:themeFill="background1" w:themeFillShade="D9"/>
            <w:vAlign w:val="center"/>
          </w:tcPr>
          <w:p>
            <w:pPr>
              <w:pStyle w:val="41"/>
              <w:jc w:val="both"/>
              <w:rPr>
                <w:b/>
                <w:bCs/>
              </w:rPr>
            </w:pPr>
            <w:r>
              <w:rPr>
                <w:rFonts w:hint="eastAsia"/>
                <w:b/>
                <w:bCs/>
              </w:rPr>
              <w:t>年份</w:t>
            </w:r>
          </w:p>
        </w:tc>
        <w:tc>
          <w:tcPr>
            <w:tcW w:w="1559" w:type="dxa"/>
            <w:shd w:val="clear" w:color="auto" w:fill="D8D8D8" w:themeFill="background1" w:themeFillShade="D9"/>
            <w:vAlign w:val="center"/>
          </w:tcPr>
          <w:p>
            <w:pPr>
              <w:pStyle w:val="41"/>
              <w:jc w:val="both"/>
              <w:rPr>
                <w:b/>
                <w:bCs/>
              </w:rPr>
            </w:pPr>
            <w:r>
              <w:rPr>
                <w:b/>
                <w:bCs/>
              </w:rPr>
              <w:t>2016</w:t>
            </w:r>
          </w:p>
        </w:tc>
        <w:tc>
          <w:tcPr>
            <w:tcW w:w="1418" w:type="dxa"/>
            <w:shd w:val="clear" w:color="auto" w:fill="D8D8D8" w:themeFill="background1" w:themeFillShade="D9"/>
            <w:vAlign w:val="center"/>
          </w:tcPr>
          <w:p>
            <w:pPr>
              <w:pStyle w:val="41"/>
              <w:jc w:val="both"/>
              <w:rPr>
                <w:b/>
                <w:bCs/>
              </w:rPr>
            </w:pPr>
            <w:r>
              <w:rPr>
                <w:b/>
                <w:bCs/>
              </w:rPr>
              <w:t>2017</w:t>
            </w:r>
          </w:p>
        </w:tc>
        <w:tc>
          <w:tcPr>
            <w:tcW w:w="1640" w:type="dxa"/>
            <w:shd w:val="clear" w:color="auto" w:fill="D8D8D8" w:themeFill="background1" w:themeFillShade="D9"/>
            <w:vAlign w:val="center"/>
          </w:tcPr>
          <w:p>
            <w:pPr>
              <w:pStyle w:val="41"/>
              <w:jc w:val="both"/>
              <w:rPr>
                <w:b/>
                <w:bCs/>
              </w:rPr>
            </w:pPr>
            <w:r>
              <w:rPr>
                <w:b/>
                <w:bCs/>
              </w:rPr>
              <w:t>2018</w:t>
            </w:r>
          </w:p>
        </w:tc>
        <w:tc>
          <w:tcPr>
            <w:tcW w:w="1437" w:type="dxa"/>
            <w:shd w:val="clear" w:color="auto" w:fill="D8D8D8" w:themeFill="background1" w:themeFillShade="D9"/>
            <w:vAlign w:val="center"/>
          </w:tcPr>
          <w:p>
            <w:pPr>
              <w:pStyle w:val="41"/>
              <w:jc w:val="both"/>
              <w:rPr>
                <w:b/>
                <w:bCs/>
              </w:rPr>
            </w:pPr>
            <w:r>
              <w:rPr>
                <w:b/>
                <w:bCs/>
              </w:rPr>
              <w:t>2019</w:t>
            </w:r>
          </w:p>
        </w:tc>
        <w:tc>
          <w:tcPr>
            <w:tcW w:w="1490" w:type="dxa"/>
            <w:shd w:val="clear" w:color="auto" w:fill="D8D8D8" w:themeFill="background1" w:themeFillShade="D9"/>
            <w:vAlign w:val="center"/>
          </w:tcPr>
          <w:p>
            <w:pPr>
              <w:pStyle w:val="41"/>
              <w:jc w:val="both"/>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Align w:val="center"/>
          </w:tcPr>
          <w:p>
            <w:pPr>
              <w:pStyle w:val="41"/>
              <w:rPr>
                <w:bCs/>
              </w:rPr>
            </w:pPr>
            <w:r>
              <w:rPr>
                <w:rFonts w:hint="eastAsia"/>
                <w:bCs/>
              </w:rPr>
              <w:t>国内外游客（万人次）</w:t>
            </w:r>
          </w:p>
        </w:tc>
        <w:tc>
          <w:tcPr>
            <w:tcW w:w="1559" w:type="dxa"/>
            <w:vAlign w:val="center"/>
          </w:tcPr>
          <w:p>
            <w:pPr>
              <w:pStyle w:val="41"/>
              <w:jc w:val="both"/>
              <w:rPr>
                <w:bCs/>
              </w:rPr>
            </w:pPr>
            <w:r>
              <w:rPr>
                <w:bCs/>
              </w:rPr>
              <w:t>582</w:t>
            </w:r>
          </w:p>
        </w:tc>
        <w:tc>
          <w:tcPr>
            <w:tcW w:w="1418" w:type="dxa"/>
            <w:vAlign w:val="center"/>
          </w:tcPr>
          <w:p>
            <w:pPr>
              <w:pStyle w:val="41"/>
              <w:jc w:val="both"/>
              <w:rPr>
                <w:bCs/>
              </w:rPr>
            </w:pPr>
            <w:r>
              <w:rPr>
                <w:bCs/>
              </w:rPr>
              <w:t>721</w:t>
            </w:r>
          </w:p>
        </w:tc>
        <w:tc>
          <w:tcPr>
            <w:tcW w:w="1640" w:type="dxa"/>
            <w:vAlign w:val="center"/>
          </w:tcPr>
          <w:p>
            <w:pPr>
              <w:pStyle w:val="41"/>
              <w:jc w:val="both"/>
              <w:rPr>
                <w:bCs/>
              </w:rPr>
            </w:pPr>
            <w:r>
              <w:rPr>
                <w:bCs/>
              </w:rPr>
              <w:t>878</w:t>
            </w:r>
          </w:p>
        </w:tc>
        <w:tc>
          <w:tcPr>
            <w:tcW w:w="1437" w:type="dxa"/>
            <w:vAlign w:val="center"/>
          </w:tcPr>
          <w:p>
            <w:pPr>
              <w:pStyle w:val="41"/>
              <w:jc w:val="both"/>
              <w:rPr>
                <w:bCs/>
              </w:rPr>
            </w:pPr>
            <w:r>
              <w:rPr>
                <w:bCs/>
              </w:rPr>
              <w:t>1052</w:t>
            </w:r>
          </w:p>
        </w:tc>
        <w:tc>
          <w:tcPr>
            <w:tcW w:w="1490" w:type="dxa"/>
            <w:vAlign w:val="center"/>
          </w:tcPr>
          <w:p>
            <w:pPr>
              <w:pStyle w:val="41"/>
              <w:jc w:val="both"/>
              <w:rPr>
                <w:bCs/>
              </w:rPr>
            </w:pPr>
            <w:r>
              <w:rPr>
                <w:bCs/>
              </w:rPr>
              <w:t>1243</w:t>
            </w:r>
          </w:p>
        </w:tc>
      </w:tr>
    </w:tbl>
    <w:p>
      <w:pPr>
        <w:ind w:firstLine="560"/>
      </w:pPr>
      <w:r>
        <w:rPr>
          <w:rFonts w:hint="eastAsia"/>
        </w:rPr>
        <w:t>对“十三五”期间客运量预测既要考虑发展的客观规律，也要考虑外在环境对客运量发展的影响。因此，结合两方面因素考虑，得出云和县“十三五”期间客运量预测分析。</w:t>
      </w:r>
    </w:p>
    <w:p>
      <w:pPr>
        <w:pStyle w:val="60"/>
        <w:ind w:firstLine="360"/>
      </w:pPr>
      <w:r>
        <w:rPr>
          <w:rFonts w:hint="eastAsia"/>
        </w:rPr>
        <w:t>表</w:t>
      </w:r>
      <w:r>
        <w:t>4-</w:t>
      </w:r>
      <w:r>
        <w:rPr>
          <w:rFonts w:hint="eastAsia"/>
        </w:rPr>
        <w:t>3云和县客运量预测分析表</w:t>
      </w:r>
    </w:p>
    <w:tbl>
      <w:tblPr>
        <w:tblStyle w:val="23"/>
        <w:tblW w:w="7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shd w:val="clear" w:color="auto" w:fill="D8D8D8" w:themeFill="background1" w:themeFillShade="D9"/>
            <w:vAlign w:val="center"/>
          </w:tcPr>
          <w:p>
            <w:pPr>
              <w:pStyle w:val="41"/>
              <w:jc w:val="both"/>
              <w:rPr>
                <w:b/>
                <w:bCs/>
              </w:rPr>
            </w:pPr>
            <w:r>
              <w:rPr>
                <w:rFonts w:hint="eastAsia"/>
                <w:b/>
                <w:bCs/>
              </w:rPr>
              <w:t>年份</w:t>
            </w:r>
          </w:p>
        </w:tc>
        <w:tc>
          <w:tcPr>
            <w:tcW w:w="1280" w:type="dxa"/>
            <w:shd w:val="clear" w:color="auto" w:fill="D8D8D8" w:themeFill="background1" w:themeFillShade="D9"/>
            <w:vAlign w:val="center"/>
          </w:tcPr>
          <w:p>
            <w:pPr>
              <w:pStyle w:val="41"/>
              <w:jc w:val="both"/>
              <w:rPr>
                <w:b/>
                <w:bCs/>
              </w:rPr>
            </w:pPr>
            <w:r>
              <w:rPr>
                <w:b/>
                <w:bCs/>
              </w:rPr>
              <w:t>2016</w:t>
            </w:r>
          </w:p>
        </w:tc>
        <w:tc>
          <w:tcPr>
            <w:tcW w:w="1280" w:type="dxa"/>
            <w:shd w:val="clear" w:color="auto" w:fill="D8D8D8" w:themeFill="background1" w:themeFillShade="D9"/>
            <w:vAlign w:val="center"/>
          </w:tcPr>
          <w:p>
            <w:pPr>
              <w:pStyle w:val="41"/>
              <w:jc w:val="both"/>
              <w:rPr>
                <w:b/>
                <w:bCs/>
              </w:rPr>
            </w:pPr>
            <w:r>
              <w:rPr>
                <w:b/>
                <w:bCs/>
              </w:rPr>
              <w:t>2017</w:t>
            </w:r>
          </w:p>
        </w:tc>
        <w:tc>
          <w:tcPr>
            <w:tcW w:w="1280" w:type="dxa"/>
            <w:shd w:val="clear" w:color="auto" w:fill="D8D8D8" w:themeFill="background1" w:themeFillShade="D9"/>
            <w:vAlign w:val="center"/>
          </w:tcPr>
          <w:p>
            <w:pPr>
              <w:pStyle w:val="41"/>
              <w:jc w:val="both"/>
              <w:rPr>
                <w:b/>
                <w:bCs/>
              </w:rPr>
            </w:pPr>
            <w:r>
              <w:rPr>
                <w:b/>
                <w:bCs/>
              </w:rPr>
              <w:t>2018</w:t>
            </w:r>
          </w:p>
        </w:tc>
        <w:tc>
          <w:tcPr>
            <w:tcW w:w="1280" w:type="dxa"/>
            <w:shd w:val="clear" w:color="auto" w:fill="D8D8D8" w:themeFill="background1" w:themeFillShade="D9"/>
            <w:vAlign w:val="center"/>
          </w:tcPr>
          <w:p>
            <w:pPr>
              <w:pStyle w:val="41"/>
              <w:jc w:val="both"/>
              <w:rPr>
                <w:b/>
                <w:bCs/>
              </w:rPr>
            </w:pPr>
            <w:r>
              <w:rPr>
                <w:b/>
                <w:bCs/>
              </w:rPr>
              <w:t>2019</w:t>
            </w:r>
          </w:p>
        </w:tc>
        <w:tc>
          <w:tcPr>
            <w:tcW w:w="1280" w:type="dxa"/>
            <w:shd w:val="clear" w:color="auto" w:fill="D8D8D8" w:themeFill="background1" w:themeFillShade="D9"/>
            <w:vAlign w:val="center"/>
          </w:tcPr>
          <w:p>
            <w:pPr>
              <w:pStyle w:val="41"/>
              <w:jc w:val="both"/>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79" w:type="dxa"/>
            <w:vAlign w:val="center"/>
          </w:tcPr>
          <w:p>
            <w:pPr>
              <w:pStyle w:val="41"/>
              <w:jc w:val="both"/>
              <w:rPr>
                <w:bCs/>
              </w:rPr>
            </w:pPr>
            <w:r>
              <w:rPr>
                <w:rFonts w:hint="eastAsia"/>
                <w:bCs/>
              </w:rPr>
              <w:t>客运量</w:t>
            </w:r>
          </w:p>
        </w:tc>
        <w:tc>
          <w:tcPr>
            <w:tcW w:w="1280" w:type="dxa"/>
            <w:vAlign w:val="center"/>
          </w:tcPr>
          <w:p>
            <w:pPr>
              <w:pStyle w:val="41"/>
              <w:jc w:val="both"/>
              <w:rPr>
                <w:bCs/>
              </w:rPr>
            </w:pPr>
            <w:r>
              <w:rPr>
                <w:bCs/>
              </w:rPr>
              <w:t>236</w:t>
            </w:r>
          </w:p>
        </w:tc>
        <w:tc>
          <w:tcPr>
            <w:tcW w:w="1280" w:type="dxa"/>
            <w:vAlign w:val="center"/>
          </w:tcPr>
          <w:p>
            <w:pPr>
              <w:pStyle w:val="41"/>
              <w:jc w:val="both"/>
              <w:rPr>
                <w:bCs/>
              </w:rPr>
            </w:pPr>
            <w:r>
              <w:rPr>
                <w:bCs/>
              </w:rPr>
              <w:t>244</w:t>
            </w:r>
          </w:p>
        </w:tc>
        <w:tc>
          <w:tcPr>
            <w:tcW w:w="1280" w:type="dxa"/>
            <w:vAlign w:val="center"/>
          </w:tcPr>
          <w:p>
            <w:pPr>
              <w:pStyle w:val="41"/>
              <w:jc w:val="both"/>
              <w:rPr>
                <w:bCs/>
              </w:rPr>
            </w:pPr>
            <w:r>
              <w:rPr>
                <w:bCs/>
              </w:rPr>
              <w:t>254</w:t>
            </w:r>
          </w:p>
        </w:tc>
        <w:tc>
          <w:tcPr>
            <w:tcW w:w="1280" w:type="dxa"/>
            <w:vAlign w:val="center"/>
          </w:tcPr>
          <w:p>
            <w:pPr>
              <w:pStyle w:val="41"/>
              <w:jc w:val="both"/>
              <w:rPr>
                <w:bCs/>
              </w:rPr>
            </w:pPr>
            <w:r>
              <w:rPr>
                <w:bCs/>
              </w:rPr>
              <w:t>266</w:t>
            </w:r>
          </w:p>
        </w:tc>
        <w:tc>
          <w:tcPr>
            <w:tcW w:w="1280" w:type="dxa"/>
            <w:vAlign w:val="center"/>
          </w:tcPr>
          <w:p>
            <w:pPr>
              <w:pStyle w:val="41"/>
              <w:jc w:val="both"/>
              <w:rPr>
                <w:bCs/>
              </w:rPr>
            </w:pPr>
            <w:r>
              <w:rPr>
                <w:bCs/>
              </w:rPr>
              <w:t>281</w:t>
            </w:r>
          </w:p>
        </w:tc>
      </w:tr>
    </w:tbl>
    <w:p>
      <w:pPr>
        <w:ind w:firstLine="0" w:firstLineChars="0"/>
      </w:pPr>
    </w:p>
    <w:p>
      <w:pPr>
        <w:ind w:firstLine="600" w:firstLineChars="0"/>
        <w:rPr>
          <w:rFonts w:ascii="宋体"/>
          <w:b/>
          <w:szCs w:val="28"/>
        </w:rPr>
      </w:pPr>
      <w:r>
        <w:drawing>
          <wp:inline distT="0" distB="0" distL="0" distR="0">
            <wp:extent cx="4860290" cy="1686560"/>
            <wp:effectExtent l="0" t="0" r="16510" b="152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0"/>
        <w:ind w:firstLine="360"/>
      </w:pPr>
      <w:r>
        <w:rPr>
          <w:rFonts w:hint="eastAsia"/>
        </w:rPr>
        <w:t>图</w:t>
      </w:r>
      <w:r>
        <w:t>4-</w:t>
      </w:r>
      <w:r>
        <w:rPr>
          <w:rFonts w:hint="eastAsia"/>
        </w:rPr>
        <w:t>1云和县客运量变化趋势图</w:t>
      </w:r>
    </w:p>
    <w:p>
      <w:pPr>
        <w:ind w:firstLine="0" w:firstLineChars="0"/>
        <w:rPr>
          <w:rFonts w:ascii="宋体"/>
          <w:b/>
          <w:szCs w:val="28"/>
        </w:rPr>
      </w:pPr>
      <w:r>
        <w:rPr>
          <w:rFonts w:hint="eastAsia" w:ascii="宋体" w:hAnsi="宋体"/>
          <w:b/>
          <w:szCs w:val="28"/>
        </w:rPr>
        <w:t>——客运周转量</w:t>
      </w:r>
    </w:p>
    <w:p>
      <w:pPr>
        <w:ind w:firstLine="560"/>
        <w:rPr>
          <w:rFonts w:ascii="宋体" w:hAnsi="宋体"/>
          <w:szCs w:val="28"/>
        </w:rPr>
      </w:pPr>
      <w:r>
        <w:rPr>
          <w:rFonts w:hint="eastAsia"/>
        </w:rPr>
        <w:t>同理，通过分析云和的客运周转量的历年统计数据，然后采用</w:t>
      </w:r>
      <w:r>
        <w:t>SPSS</w:t>
      </w:r>
      <w:r>
        <w:rPr>
          <w:rFonts w:hint="eastAsia"/>
        </w:rPr>
        <w:t>软件对云和县的客运周转量分别运用上述七种回归函数进行拟合，得到一元三次函数拟合度最优（</w:t>
      </w:r>
      <w:r>
        <w:t>R</w:t>
      </w:r>
      <w:r>
        <w:rPr>
          <w:vertAlign w:val="superscript"/>
        </w:rPr>
        <w:t>2</w:t>
      </w:r>
      <w:r>
        <w:t>=0.64</w:t>
      </w:r>
      <w:r>
        <w:rPr>
          <w:rFonts w:hint="eastAsia"/>
        </w:rPr>
        <w:t>）各种模型拟合度及曲线发展趋势。</w:t>
      </w:r>
      <w:r>
        <w:rPr>
          <w:rFonts w:hint="eastAsia" w:ascii="宋体" w:hAnsi="宋体"/>
          <w:szCs w:val="28"/>
        </w:rPr>
        <w:t>预测模型为：</w:t>
      </w:r>
      <w:r>
        <w:rPr>
          <w:rFonts w:ascii="宋体"/>
          <w:b/>
          <w:position w:val="-10"/>
          <w:szCs w:val="28"/>
        </w:rPr>
        <w:drawing>
          <wp:inline distT="0" distB="0" distL="0" distR="0">
            <wp:extent cx="2802255" cy="236855"/>
            <wp:effectExtent l="0" t="0" r="0" b="0"/>
            <wp:docPr id="8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2802255" cy="236855"/>
                    </a:xfrm>
                    <a:prstGeom prst="rect">
                      <a:avLst/>
                    </a:prstGeom>
                    <a:noFill/>
                    <a:ln>
                      <a:noFill/>
                    </a:ln>
                  </pic:spPr>
                </pic:pic>
              </a:graphicData>
            </a:graphic>
          </wp:inline>
        </w:drawing>
      </w:r>
      <w:r>
        <w:rPr>
          <w:rFonts w:hint="eastAsia" w:ascii="宋体" w:hAnsi="宋体"/>
          <w:szCs w:val="28"/>
        </w:rPr>
        <w:t>。</w:t>
      </w:r>
    </w:p>
    <w:p>
      <w:pPr>
        <w:ind w:firstLine="560"/>
      </w:pPr>
      <w:r>
        <w:rPr>
          <w:rFonts w:hint="eastAsia" w:ascii="宋体" w:hAnsi="宋体"/>
          <w:szCs w:val="28"/>
        </w:rPr>
        <w:t>对客运周转量的预测既要考虑客观发展规律，同时也要考虑外部环境因素对客运周转量发展的影响，得出“十三五”期间云和县客运周转量预测数据如表</w:t>
      </w:r>
      <w:r>
        <w:rPr>
          <w:rFonts w:ascii="宋体" w:hAnsi="宋体"/>
          <w:szCs w:val="28"/>
        </w:rPr>
        <w:t>4-</w:t>
      </w:r>
      <w:r>
        <w:rPr>
          <w:rFonts w:hint="eastAsia" w:ascii="宋体" w:hAnsi="宋体"/>
          <w:szCs w:val="28"/>
        </w:rPr>
        <w:t>4所示。</w:t>
      </w:r>
    </w:p>
    <w:p>
      <w:pPr>
        <w:pStyle w:val="60"/>
      </w:pPr>
      <w:r>
        <w:rPr>
          <w:rFonts w:hint="eastAsia"/>
        </w:rPr>
        <w:t>表</w:t>
      </w:r>
      <w:r>
        <w:t>4-</w:t>
      </w:r>
      <w:r>
        <w:rPr>
          <w:rFonts w:hint="eastAsia"/>
        </w:rPr>
        <w:t>4云和县客运周转量预测分析表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1150"/>
        <w:gridCol w:w="1261"/>
        <w:gridCol w:w="1366"/>
        <w:gridCol w:w="115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D8D8D8" w:themeFill="background1" w:themeFillShade="D9"/>
            <w:vAlign w:val="center"/>
          </w:tcPr>
          <w:p>
            <w:pPr>
              <w:pStyle w:val="41"/>
              <w:rPr>
                <w:b/>
                <w:bCs/>
              </w:rPr>
            </w:pPr>
            <w:r>
              <w:rPr>
                <w:rFonts w:hint="eastAsia"/>
                <w:b/>
                <w:bCs/>
              </w:rPr>
              <w:t>年份</w:t>
            </w:r>
          </w:p>
        </w:tc>
        <w:tc>
          <w:tcPr>
            <w:tcW w:w="1150" w:type="dxa"/>
            <w:shd w:val="clear" w:color="auto" w:fill="D8D8D8" w:themeFill="background1" w:themeFillShade="D9"/>
            <w:vAlign w:val="center"/>
          </w:tcPr>
          <w:p>
            <w:pPr>
              <w:pStyle w:val="41"/>
              <w:rPr>
                <w:b/>
                <w:bCs/>
              </w:rPr>
            </w:pPr>
            <w:r>
              <w:rPr>
                <w:b/>
                <w:bCs/>
              </w:rPr>
              <w:t>2016</w:t>
            </w:r>
          </w:p>
        </w:tc>
        <w:tc>
          <w:tcPr>
            <w:tcW w:w="1261" w:type="dxa"/>
            <w:shd w:val="clear" w:color="auto" w:fill="D8D8D8" w:themeFill="background1" w:themeFillShade="D9"/>
            <w:vAlign w:val="center"/>
          </w:tcPr>
          <w:p>
            <w:pPr>
              <w:pStyle w:val="41"/>
              <w:rPr>
                <w:b/>
                <w:bCs/>
              </w:rPr>
            </w:pPr>
            <w:r>
              <w:rPr>
                <w:b/>
                <w:bCs/>
              </w:rPr>
              <w:t>2017</w:t>
            </w:r>
          </w:p>
        </w:tc>
        <w:tc>
          <w:tcPr>
            <w:tcW w:w="1366" w:type="dxa"/>
            <w:shd w:val="clear" w:color="auto" w:fill="D8D8D8" w:themeFill="background1" w:themeFillShade="D9"/>
            <w:vAlign w:val="center"/>
          </w:tcPr>
          <w:p>
            <w:pPr>
              <w:pStyle w:val="41"/>
              <w:rPr>
                <w:b/>
                <w:bCs/>
              </w:rPr>
            </w:pPr>
            <w:r>
              <w:rPr>
                <w:b/>
                <w:bCs/>
              </w:rPr>
              <w:t>2018</w:t>
            </w:r>
          </w:p>
        </w:tc>
        <w:tc>
          <w:tcPr>
            <w:tcW w:w="1150" w:type="dxa"/>
            <w:shd w:val="clear" w:color="auto" w:fill="D8D8D8" w:themeFill="background1" w:themeFillShade="D9"/>
            <w:vAlign w:val="center"/>
          </w:tcPr>
          <w:p>
            <w:pPr>
              <w:pStyle w:val="41"/>
              <w:rPr>
                <w:b/>
                <w:bCs/>
              </w:rPr>
            </w:pPr>
            <w:r>
              <w:rPr>
                <w:b/>
                <w:bCs/>
              </w:rPr>
              <w:t>2019</w:t>
            </w:r>
          </w:p>
        </w:tc>
        <w:tc>
          <w:tcPr>
            <w:tcW w:w="1093" w:type="dxa"/>
            <w:shd w:val="clear" w:color="auto" w:fill="D8D8D8" w:themeFill="background1" w:themeFillShade="D9"/>
            <w:vAlign w:val="center"/>
          </w:tcPr>
          <w:p>
            <w:pPr>
              <w:pStyle w:val="41"/>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496" w:type="dxa"/>
            <w:vAlign w:val="center"/>
          </w:tcPr>
          <w:p>
            <w:pPr>
              <w:pStyle w:val="41"/>
              <w:rPr>
                <w:bCs/>
              </w:rPr>
            </w:pPr>
            <w:r>
              <w:rPr>
                <w:rFonts w:hint="eastAsia"/>
                <w:bCs/>
              </w:rPr>
              <w:t>客运周转量（万人公里）</w:t>
            </w:r>
          </w:p>
        </w:tc>
        <w:tc>
          <w:tcPr>
            <w:tcW w:w="1150" w:type="dxa"/>
            <w:vAlign w:val="center"/>
          </w:tcPr>
          <w:p>
            <w:pPr>
              <w:pStyle w:val="41"/>
              <w:rPr>
                <w:bCs/>
              </w:rPr>
            </w:pPr>
            <w:r>
              <w:rPr>
                <w:bCs/>
              </w:rPr>
              <w:t>15997</w:t>
            </w:r>
          </w:p>
        </w:tc>
        <w:tc>
          <w:tcPr>
            <w:tcW w:w="1261" w:type="dxa"/>
            <w:vAlign w:val="center"/>
          </w:tcPr>
          <w:p>
            <w:pPr>
              <w:pStyle w:val="41"/>
              <w:rPr>
                <w:bCs/>
              </w:rPr>
            </w:pPr>
            <w:r>
              <w:rPr>
                <w:bCs/>
              </w:rPr>
              <w:t>23088</w:t>
            </w:r>
          </w:p>
        </w:tc>
        <w:tc>
          <w:tcPr>
            <w:tcW w:w="1366" w:type="dxa"/>
            <w:vAlign w:val="center"/>
          </w:tcPr>
          <w:p>
            <w:pPr>
              <w:pStyle w:val="41"/>
              <w:rPr>
                <w:bCs/>
              </w:rPr>
            </w:pPr>
            <w:r>
              <w:rPr>
                <w:bCs/>
              </w:rPr>
              <w:t>33012</w:t>
            </w:r>
          </w:p>
        </w:tc>
        <w:tc>
          <w:tcPr>
            <w:tcW w:w="1150" w:type="dxa"/>
            <w:vAlign w:val="center"/>
          </w:tcPr>
          <w:p>
            <w:pPr>
              <w:pStyle w:val="41"/>
              <w:rPr>
                <w:bCs/>
              </w:rPr>
            </w:pPr>
            <w:r>
              <w:rPr>
                <w:bCs/>
              </w:rPr>
              <w:t>46222</w:t>
            </w:r>
          </w:p>
        </w:tc>
        <w:tc>
          <w:tcPr>
            <w:tcW w:w="1093" w:type="dxa"/>
            <w:vAlign w:val="center"/>
          </w:tcPr>
          <w:p>
            <w:pPr>
              <w:pStyle w:val="41"/>
              <w:rPr>
                <w:bCs/>
              </w:rPr>
            </w:pPr>
            <w:r>
              <w:rPr>
                <w:bCs/>
              </w:rPr>
              <w:t>63169</w:t>
            </w:r>
          </w:p>
        </w:tc>
      </w:tr>
    </w:tbl>
    <w:p>
      <w:pPr>
        <w:ind w:firstLine="0" w:firstLineChars="0"/>
        <w:rPr>
          <w:rFonts w:ascii="宋体" w:cs="Arial"/>
          <w:sz w:val="21"/>
          <w:szCs w:val="21"/>
        </w:rPr>
      </w:pPr>
    </w:p>
    <w:p>
      <w:pPr>
        <w:ind w:firstLine="0" w:firstLineChars="0"/>
        <w:jc w:val="center"/>
        <w:rPr>
          <w:rFonts w:ascii="宋体" w:cs="Arial"/>
          <w:sz w:val="21"/>
          <w:szCs w:val="21"/>
        </w:rPr>
      </w:pPr>
      <w:r>
        <w:drawing>
          <wp:inline distT="0" distB="0" distL="0" distR="0">
            <wp:extent cx="4859655" cy="1691640"/>
            <wp:effectExtent l="0" t="0" r="17145" b="3556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0"/>
        <w:ind w:firstLine="360"/>
      </w:pPr>
      <w:r>
        <w:rPr>
          <w:rFonts w:hint="eastAsia"/>
        </w:rPr>
        <w:t>图</w:t>
      </w:r>
      <w:r>
        <w:t>4-</w:t>
      </w:r>
      <w:r>
        <w:rPr>
          <w:rFonts w:hint="eastAsia"/>
        </w:rPr>
        <w:t>2云和县客运周转量变化趋势图</w:t>
      </w:r>
    </w:p>
    <w:p>
      <w:pPr>
        <w:ind w:firstLine="0" w:firstLineChars="0"/>
        <w:rPr>
          <w:b/>
        </w:rPr>
      </w:pPr>
      <w:r>
        <w:rPr>
          <w:rFonts w:hint="eastAsia"/>
          <w:b/>
        </w:rPr>
        <w:t>（2）货运量及货运周转量预测</w:t>
      </w:r>
    </w:p>
    <w:p>
      <w:pPr>
        <w:ind w:firstLine="0" w:firstLineChars="0"/>
        <w:rPr>
          <w:b/>
        </w:rPr>
      </w:pPr>
      <w:r>
        <w:rPr>
          <w:rFonts w:hint="eastAsia"/>
          <w:b/>
        </w:rPr>
        <w:t>——货运量</w:t>
      </w:r>
    </w:p>
    <w:p>
      <w:pPr>
        <w:ind w:firstLine="560"/>
      </w:pPr>
      <w:r>
        <w:rPr>
          <w:rFonts w:hint="eastAsia"/>
        </w:rPr>
        <w:t>首先通过分析云和的货运量的历年统计数据，然后采用</w:t>
      </w:r>
      <w:r>
        <w:t>SPSS</w:t>
      </w:r>
      <w:r>
        <w:rPr>
          <w:rFonts w:hint="eastAsia"/>
        </w:rPr>
        <w:t>软件对云和县的货运量分别运用上述七种回归函数进行拟合，得到一元二次函数拟合度最优（</w:t>
      </w:r>
      <w:r>
        <w:t>R</w:t>
      </w:r>
      <w:r>
        <w:rPr>
          <w:vertAlign w:val="superscript"/>
        </w:rPr>
        <w:t>2=</w:t>
      </w:r>
      <w:r>
        <w:t>0.945</w:t>
      </w:r>
      <w:r>
        <w:rPr>
          <w:rFonts w:hint="eastAsia"/>
        </w:rPr>
        <w:t>）各种模型拟合度及曲线发展趋势。</w:t>
      </w:r>
    </w:p>
    <w:p>
      <w:pPr>
        <w:ind w:firstLine="198" w:firstLineChars="71"/>
      </w:pPr>
      <w:r>
        <w:rPr>
          <w:rFonts w:hint="eastAsia"/>
        </w:rPr>
        <w:t>预测模型为：</w:t>
      </w:r>
      <w:r>
        <w:rPr>
          <w:position w:val="-10"/>
        </w:rPr>
        <w:drawing>
          <wp:inline distT="0" distB="0" distL="0" distR="0">
            <wp:extent cx="1701800" cy="236855"/>
            <wp:effectExtent l="0" t="0" r="0" b="0"/>
            <wp:docPr id="5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1701800" cy="236855"/>
                    </a:xfrm>
                    <a:prstGeom prst="rect">
                      <a:avLst/>
                    </a:prstGeom>
                    <a:noFill/>
                    <a:ln>
                      <a:noFill/>
                    </a:ln>
                  </pic:spPr>
                </pic:pic>
              </a:graphicData>
            </a:graphic>
          </wp:inline>
        </w:drawing>
      </w:r>
    </w:p>
    <w:p>
      <w:pPr>
        <w:ind w:firstLine="560"/>
      </w:pPr>
      <w:r>
        <w:rPr>
          <w:rFonts w:hint="eastAsia"/>
        </w:rPr>
        <w:t>从而得到“十三五</w:t>
      </w:r>
      <w:r>
        <w:t>”</w:t>
      </w:r>
      <w:r>
        <w:rPr>
          <w:rFonts w:hint="eastAsia"/>
        </w:rPr>
        <w:t>期间云和县货运量预测数据如表</w:t>
      </w:r>
      <w:r>
        <w:t>4-</w:t>
      </w:r>
      <w:r>
        <w:rPr>
          <w:rFonts w:hint="eastAsia"/>
        </w:rPr>
        <w:t>5所示。</w:t>
      </w:r>
    </w:p>
    <w:p>
      <w:pPr>
        <w:pStyle w:val="60"/>
      </w:pPr>
      <w:r>
        <w:rPr>
          <w:rFonts w:hint="eastAsia"/>
        </w:rPr>
        <w:t>表</w:t>
      </w:r>
      <w:r>
        <w:t>4-</w:t>
      </w:r>
      <w:r>
        <w:rPr>
          <w:rFonts w:hint="eastAsia"/>
        </w:rPr>
        <w:t>5云和县货运量预测分析表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419"/>
        <w:gridCol w:w="1419"/>
        <w:gridCol w:w="1419"/>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shd w:val="clear" w:color="auto" w:fill="D8D8D8" w:themeFill="background1" w:themeFillShade="D9"/>
            <w:vAlign w:val="center"/>
          </w:tcPr>
          <w:p>
            <w:pPr>
              <w:pStyle w:val="41"/>
              <w:rPr>
                <w:b/>
                <w:bCs/>
              </w:rPr>
            </w:pPr>
            <w:r>
              <w:rPr>
                <w:rFonts w:hint="eastAsia"/>
                <w:b/>
                <w:bCs/>
              </w:rPr>
              <w:t>年份</w:t>
            </w:r>
          </w:p>
        </w:tc>
        <w:tc>
          <w:tcPr>
            <w:tcW w:w="1419" w:type="dxa"/>
            <w:shd w:val="clear" w:color="auto" w:fill="D8D8D8" w:themeFill="background1" w:themeFillShade="D9"/>
            <w:vAlign w:val="center"/>
          </w:tcPr>
          <w:p>
            <w:pPr>
              <w:pStyle w:val="41"/>
              <w:rPr>
                <w:b/>
                <w:bCs/>
              </w:rPr>
            </w:pPr>
            <w:r>
              <w:rPr>
                <w:b/>
                <w:bCs/>
              </w:rPr>
              <w:t>2016</w:t>
            </w:r>
          </w:p>
        </w:tc>
        <w:tc>
          <w:tcPr>
            <w:tcW w:w="1419" w:type="dxa"/>
            <w:shd w:val="clear" w:color="auto" w:fill="D8D8D8" w:themeFill="background1" w:themeFillShade="D9"/>
            <w:vAlign w:val="center"/>
          </w:tcPr>
          <w:p>
            <w:pPr>
              <w:pStyle w:val="41"/>
              <w:rPr>
                <w:b/>
                <w:bCs/>
              </w:rPr>
            </w:pPr>
            <w:r>
              <w:rPr>
                <w:b/>
                <w:bCs/>
              </w:rPr>
              <w:t>2017</w:t>
            </w:r>
          </w:p>
        </w:tc>
        <w:tc>
          <w:tcPr>
            <w:tcW w:w="1419" w:type="dxa"/>
            <w:shd w:val="clear" w:color="auto" w:fill="D8D8D8" w:themeFill="background1" w:themeFillShade="D9"/>
            <w:vAlign w:val="center"/>
          </w:tcPr>
          <w:p>
            <w:pPr>
              <w:pStyle w:val="41"/>
              <w:rPr>
                <w:b/>
                <w:bCs/>
              </w:rPr>
            </w:pPr>
            <w:r>
              <w:rPr>
                <w:b/>
                <w:bCs/>
              </w:rPr>
              <w:t>2018</w:t>
            </w:r>
          </w:p>
        </w:tc>
        <w:tc>
          <w:tcPr>
            <w:tcW w:w="1420" w:type="dxa"/>
            <w:shd w:val="clear" w:color="auto" w:fill="D8D8D8" w:themeFill="background1" w:themeFillShade="D9"/>
            <w:vAlign w:val="center"/>
          </w:tcPr>
          <w:p>
            <w:pPr>
              <w:pStyle w:val="41"/>
              <w:rPr>
                <w:b/>
                <w:bCs/>
              </w:rPr>
            </w:pPr>
            <w:r>
              <w:rPr>
                <w:b/>
                <w:bCs/>
              </w:rPr>
              <w:t>2019</w:t>
            </w:r>
          </w:p>
        </w:tc>
        <w:tc>
          <w:tcPr>
            <w:tcW w:w="1420" w:type="dxa"/>
            <w:shd w:val="clear" w:color="auto" w:fill="D8D8D8" w:themeFill="background1" w:themeFillShade="D9"/>
            <w:vAlign w:val="center"/>
          </w:tcPr>
          <w:p>
            <w:pPr>
              <w:pStyle w:val="41"/>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pStyle w:val="41"/>
              <w:rPr>
                <w:bCs/>
              </w:rPr>
            </w:pPr>
            <w:r>
              <w:rPr>
                <w:rFonts w:hint="eastAsia"/>
                <w:bCs/>
              </w:rPr>
              <w:t>货运量（万吨）</w:t>
            </w:r>
          </w:p>
        </w:tc>
        <w:tc>
          <w:tcPr>
            <w:tcW w:w="1419" w:type="dxa"/>
            <w:vAlign w:val="center"/>
          </w:tcPr>
          <w:p>
            <w:pPr>
              <w:pStyle w:val="41"/>
              <w:rPr>
                <w:bCs/>
              </w:rPr>
            </w:pPr>
            <w:r>
              <w:rPr>
                <w:bCs/>
              </w:rPr>
              <w:t>195</w:t>
            </w:r>
          </w:p>
        </w:tc>
        <w:tc>
          <w:tcPr>
            <w:tcW w:w="1419" w:type="dxa"/>
            <w:vAlign w:val="center"/>
          </w:tcPr>
          <w:p>
            <w:pPr>
              <w:pStyle w:val="41"/>
              <w:rPr>
                <w:bCs/>
              </w:rPr>
            </w:pPr>
            <w:r>
              <w:rPr>
                <w:bCs/>
              </w:rPr>
              <w:t>202</w:t>
            </w:r>
          </w:p>
        </w:tc>
        <w:tc>
          <w:tcPr>
            <w:tcW w:w="1419" w:type="dxa"/>
            <w:vAlign w:val="center"/>
          </w:tcPr>
          <w:p>
            <w:pPr>
              <w:pStyle w:val="41"/>
              <w:rPr>
                <w:bCs/>
              </w:rPr>
            </w:pPr>
            <w:r>
              <w:rPr>
                <w:bCs/>
              </w:rPr>
              <w:t>209</w:t>
            </w:r>
          </w:p>
        </w:tc>
        <w:tc>
          <w:tcPr>
            <w:tcW w:w="1420" w:type="dxa"/>
            <w:vAlign w:val="center"/>
          </w:tcPr>
          <w:p>
            <w:pPr>
              <w:pStyle w:val="41"/>
              <w:rPr>
                <w:bCs/>
              </w:rPr>
            </w:pPr>
            <w:r>
              <w:rPr>
                <w:bCs/>
              </w:rPr>
              <w:t>215</w:t>
            </w:r>
          </w:p>
        </w:tc>
        <w:tc>
          <w:tcPr>
            <w:tcW w:w="1420" w:type="dxa"/>
            <w:vAlign w:val="center"/>
          </w:tcPr>
          <w:p>
            <w:pPr>
              <w:pStyle w:val="41"/>
              <w:rPr>
                <w:bCs/>
              </w:rPr>
            </w:pPr>
            <w:r>
              <w:rPr>
                <w:bCs/>
              </w:rPr>
              <w:t>221</w:t>
            </w:r>
          </w:p>
        </w:tc>
      </w:tr>
    </w:tbl>
    <w:p>
      <w:pPr>
        <w:ind w:firstLine="0" w:firstLineChars="0"/>
        <w:rPr>
          <w:b/>
        </w:rPr>
      </w:pPr>
      <w:r>
        <w:rPr>
          <w:rFonts w:hint="eastAsia"/>
          <w:b/>
        </w:rPr>
        <w:t>——货运周转量</w:t>
      </w:r>
    </w:p>
    <w:p>
      <w:pPr>
        <w:ind w:firstLine="560"/>
      </w:pPr>
      <w:r>
        <w:rPr>
          <w:rFonts w:hint="eastAsia"/>
        </w:rPr>
        <w:t>通过分析云和的货运量周转量的历年统计数据，然后采用</w:t>
      </w:r>
      <w:r>
        <w:t>SPSS</w:t>
      </w:r>
      <w:r>
        <w:rPr>
          <w:rFonts w:hint="eastAsia"/>
        </w:rPr>
        <w:t>软件对云和县的货运量周转量分别运用上述七种回归函数进行拟合，得到一元二次函数拟合度最优（</w:t>
      </w:r>
      <w:r>
        <w:t>R</w:t>
      </w:r>
      <w:r>
        <w:rPr>
          <w:vertAlign w:val="superscript"/>
        </w:rPr>
        <w:t>2</w:t>
      </w:r>
      <w:r>
        <w:t>=0.983</w:t>
      </w:r>
      <w:r>
        <w:rPr>
          <w:rFonts w:hint="eastAsia"/>
        </w:rPr>
        <w:t>）</w:t>
      </w:r>
      <w:r>
        <w:t>,</w:t>
      </w:r>
      <w:r>
        <w:rPr>
          <w:rFonts w:hint="eastAsia"/>
        </w:rPr>
        <w:t>拟合度非常高，数据可靠性强。</w:t>
      </w:r>
    </w:p>
    <w:p>
      <w:pPr>
        <w:ind w:firstLine="560"/>
      </w:pPr>
      <w:r>
        <w:rPr>
          <w:rFonts w:hint="eastAsia"/>
        </w:rPr>
        <w:t>预测模型为：</w:t>
      </w:r>
      <w:r>
        <w:rPr>
          <w:position w:val="-10"/>
        </w:rPr>
        <w:drawing>
          <wp:inline distT="0" distB="0" distL="0" distR="0">
            <wp:extent cx="2044700" cy="228600"/>
            <wp:effectExtent l="0" t="0" r="12700" b="0"/>
            <wp:docPr id="1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2044700" cy="228600"/>
                    </a:xfrm>
                    <a:prstGeom prst="rect">
                      <a:avLst/>
                    </a:prstGeom>
                    <a:noFill/>
                    <a:ln>
                      <a:noFill/>
                    </a:ln>
                  </pic:spPr>
                </pic:pic>
              </a:graphicData>
            </a:graphic>
          </wp:inline>
        </w:drawing>
      </w:r>
    </w:p>
    <w:p>
      <w:pPr>
        <w:pStyle w:val="60"/>
      </w:pPr>
      <w:r>
        <w:rPr>
          <w:rFonts w:hint="eastAsia"/>
        </w:rPr>
        <w:t>表</w:t>
      </w:r>
      <w:r>
        <w:t>4-</w:t>
      </w:r>
      <w:r>
        <w:rPr>
          <w:rFonts w:hint="eastAsia"/>
        </w:rPr>
        <w:t>6 云和县货运周转量预测分析表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9"/>
        <w:gridCol w:w="1276"/>
        <w:gridCol w:w="1253"/>
        <w:gridCol w:w="1157"/>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shd w:val="clear" w:color="auto" w:fill="D8D8D8" w:themeFill="background1" w:themeFillShade="D9"/>
            <w:vAlign w:val="center"/>
          </w:tcPr>
          <w:p>
            <w:pPr>
              <w:pStyle w:val="41"/>
              <w:rPr>
                <w:b/>
                <w:bCs/>
              </w:rPr>
            </w:pPr>
            <w:r>
              <w:rPr>
                <w:rFonts w:hint="eastAsia"/>
                <w:b/>
                <w:bCs/>
              </w:rPr>
              <w:t>年份</w:t>
            </w:r>
          </w:p>
        </w:tc>
        <w:tc>
          <w:tcPr>
            <w:tcW w:w="1276" w:type="dxa"/>
            <w:shd w:val="clear" w:color="auto" w:fill="D8D8D8" w:themeFill="background1" w:themeFillShade="D9"/>
            <w:vAlign w:val="center"/>
          </w:tcPr>
          <w:p>
            <w:pPr>
              <w:pStyle w:val="41"/>
              <w:rPr>
                <w:b/>
                <w:bCs/>
              </w:rPr>
            </w:pPr>
            <w:r>
              <w:rPr>
                <w:b/>
                <w:bCs/>
              </w:rPr>
              <w:t>2016</w:t>
            </w:r>
          </w:p>
        </w:tc>
        <w:tc>
          <w:tcPr>
            <w:tcW w:w="1253" w:type="dxa"/>
            <w:shd w:val="clear" w:color="auto" w:fill="D8D8D8" w:themeFill="background1" w:themeFillShade="D9"/>
            <w:vAlign w:val="center"/>
          </w:tcPr>
          <w:p>
            <w:pPr>
              <w:pStyle w:val="41"/>
              <w:rPr>
                <w:b/>
                <w:bCs/>
              </w:rPr>
            </w:pPr>
            <w:r>
              <w:rPr>
                <w:b/>
                <w:bCs/>
              </w:rPr>
              <w:t>2017</w:t>
            </w:r>
          </w:p>
        </w:tc>
        <w:tc>
          <w:tcPr>
            <w:tcW w:w="1157" w:type="dxa"/>
            <w:shd w:val="clear" w:color="auto" w:fill="D8D8D8" w:themeFill="background1" w:themeFillShade="D9"/>
            <w:vAlign w:val="center"/>
          </w:tcPr>
          <w:p>
            <w:pPr>
              <w:pStyle w:val="41"/>
              <w:rPr>
                <w:b/>
                <w:bCs/>
              </w:rPr>
            </w:pPr>
            <w:r>
              <w:rPr>
                <w:b/>
                <w:bCs/>
              </w:rPr>
              <w:t>2018</w:t>
            </w:r>
          </w:p>
        </w:tc>
        <w:tc>
          <w:tcPr>
            <w:tcW w:w="1276" w:type="dxa"/>
            <w:shd w:val="clear" w:color="auto" w:fill="D8D8D8" w:themeFill="background1" w:themeFillShade="D9"/>
            <w:vAlign w:val="center"/>
          </w:tcPr>
          <w:p>
            <w:pPr>
              <w:pStyle w:val="41"/>
              <w:rPr>
                <w:b/>
                <w:bCs/>
              </w:rPr>
            </w:pPr>
            <w:r>
              <w:rPr>
                <w:b/>
                <w:bCs/>
              </w:rPr>
              <w:t>2019</w:t>
            </w:r>
          </w:p>
        </w:tc>
        <w:tc>
          <w:tcPr>
            <w:tcW w:w="1134" w:type="dxa"/>
            <w:shd w:val="clear" w:color="auto" w:fill="D8D8D8" w:themeFill="background1" w:themeFillShade="D9"/>
            <w:vAlign w:val="center"/>
          </w:tcPr>
          <w:p>
            <w:pPr>
              <w:pStyle w:val="41"/>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pStyle w:val="41"/>
              <w:rPr>
                <w:bCs/>
              </w:rPr>
            </w:pPr>
            <w:r>
              <w:rPr>
                <w:rFonts w:hint="eastAsia"/>
                <w:bCs/>
              </w:rPr>
              <w:t>货运周转量（万吨公里）</w:t>
            </w:r>
          </w:p>
        </w:tc>
        <w:tc>
          <w:tcPr>
            <w:tcW w:w="1276" w:type="dxa"/>
            <w:vAlign w:val="center"/>
          </w:tcPr>
          <w:p>
            <w:pPr>
              <w:pStyle w:val="41"/>
              <w:rPr>
                <w:bCs/>
              </w:rPr>
            </w:pPr>
            <w:r>
              <w:rPr>
                <w:bCs/>
              </w:rPr>
              <w:t>17490</w:t>
            </w:r>
          </w:p>
        </w:tc>
        <w:tc>
          <w:tcPr>
            <w:tcW w:w="1253" w:type="dxa"/>
            <w:vAlign w:val="center"/>
          </w:tcPr>
          <w:p>
            <w:pPr>
              <w:pStyle w:val="41"/>
              <w:rPr>
                <w:bCs/>
              </w:rPr>
            </w:pPr>
            <w:r>
              <w:rPr>
                <w:bCs/>
              </w:rPr>
              <w:t>18298</w:t>
            </w:r>
          </w:p>
        </w:tc>
        <w:tc>
          <w:tcPr>
            <w:tcW w:w="1157" w:type="dxa"/>
            <w:vAlign w:val="center"/>
          </w:tcPr>
          <w:p>
            <w:pPr>
              <w:pStyle w:val="41"/>
              <w:rPr>
                <w:bCs/>
              </w:rPr>
            </w:pPr>
            <w:r>
              <w:rPr>
                <w:bCs/>
              </w:rPr>
              <w:t>19258</w:t>
            </w:r>
          </w:p>
        </w:tc>
        <w:tc>
          <w:tcPr>
            <w:tcW w:w="1276" w:type="dxa"/>
            <w:vAlign w:val="center"/>
          </w:tcPr>
          <w:p>
            <w:pPr>
              <w:pStyle w:val="41"/>
              <w:rPr>
                <w:bCs/>
              </w:rPr>
            </w:pPr>
            <w:r>
              <w:rPr>
                <w:bCs/>
              </w:rPr>
              <w:t>20369</w:t>
            </w:r>
          </w:p>
        </w:tc>
        <w:tc>
          <w:tcPr>
            <w:tcW w:w="1134" w:type="dxa"/>
            <w:vAlign w:val="center"/>
          </w:tcPr>
          <w:p>
            <w:pPr>
              <w:pStyle w:val="41"/>
              <w:rPr>
                <w:bCs/>
              </w:rPr>
            </w:pPr>
            <w:r>
              <w:rPr>
                <w:bCs/>
              </w:rPr>
              <w:t>21631</w:t>
            </w:r>
          </w:p>
        </w:tc>
      </w:tr>
    </w:tbl>
    <w:p>
      <w:pPr>
        <w:ind w:firstLine="0" w:firstLineChars="0"/>
        <w:rPr>
          <w:b/>
        </w:rPr>
      </w:pPr>
      <w:r>
        <w:rPr>
          <w:rFonts w:hint="eastAsia"/>
          <w:b/>
        </w:rPr>
        <w:t>（3）机动车数量预测</w:t>
      </w:r>
    </w:p>
    <w:p>
      <w:pPr>
        <w:ind w:firstLine="560"/>
      </w:pPr>
      <w:r>
        <w:rPr>
          <w:rFonts w:hint="eastAsia"/>
        </w:rPr>
        <w:t>通过分析云和的机动车量的历年统计数据，然后采用</w:t>
      </w:r>
      <w:r>
        <w:t>SPSS</w:t>
      </w:r>
      <w:r>
        <w:rPr>
          <w:rFonts w:hint="eastAsia"/>
        </w:rPr>
        <w:t>软件对云和县的机动车数量</w:t>
      </w:r>
      <w:r>
        <w:t>分别运用</w:t>
      </w:r>
      <w:r>
        <w:rPr>
          <w:rFonts w:hint="eastAsia"/>
        </w:rPr>
        <w:t>上述七种回归函数进行拟合，得到一元二次函数拟合度最优（</w:t>
      </w:r>
      <w:r>
        <w:t>R</w:t>
      </w:r>
      <w:r>
        <w:rPr>
          <w:vertAlign w:val="superscript"/>
        </w:rPr>
        <w:t>2</w:t>
      </w:r>
      <w:r>
        <w:t>=0.99</w:t>
      </w:r>
      <w:r>
        <w:rPr>
          <w:rFonts w:hint="eastAsia"/>
        </w:rPr>
        <w:t>4）</w:t>
      </w:r>
      <w:r>
        <w:t>,</w:t>
      </w:r>
      <w:r>
        <w:rPr>
          <w:rFonts w:hint="eastAsia"/>
        </w:rPr>
        <w:t>拟合度非常高，数据可靠性强。</w:t>
      </w:r>
    </w:p>
    <w:p>
      <w:pPr>
        <w:ind w:firstLine="560"/>
      </w:pPr>
      <w:r>
        <w:rPr>
          <w:rFonts w:hint="eastAsia"/>
        </w:rPr>
        <w:t>预测模型为：</w:t>
      </w:r>
      <m:oMath>
        <m:r>
          <m:rPr>
            <m:sty m:val="p"/>
          </m:rPr>
          <w:rPr>
            <w:rFonts w:ascii="Cambria Math" w:hAnsi="Cambria Math"/>
          </w:rPr>
          <m:t>y=7284.9+1578.3t</m:t>
        </m:r>
      </m:oMath>
    </w:p>
    <w:p>
      <w:pPr>
        <w:ind w:firstLine="560"/>
      </w:pPr>
      <w:r>
        <w:rPr>
          <w:rFonts w:hint="eastAsia"/>
        </w:rPr>
        <w:t>从而得到“十三五</w:t>
      </w:r>
      <w:r>
        <w:t>”</w:t>
      </w:r>
      <w:r>
        <w:rPr>
          <w:rFonts w:hint="eastAsia"/>
        </w:rPr>
        <w:t>期间云和县机动车数量预测数据如表</w:t>
      </w:r>
      <w:r>
        <w:t>4-</w:t>
      </w:r>
      <w:r>
        <w:rPr>
          <w:rFonts w:hint="eastAsia"/>
        </w:rPr>
        <w:t>7所示。</w:t>
      </w:r>
    </w:p>
    <w:p>
      <w:pPr>
        <w:pStyle w:val="60"/>
      </w:pPr>
      <w:r>
        <w:rPr>
          <w:rFonts w:hint="eastAsia"/>
        </w:rPr>
        <w:t>表</w:t>
      </w:r>
      <w:r>
        <w:t>4-</w:t>
      </w:r>
      <w:r>
        <w:rPr>
          <w:rFonts w:hint="eastAsia"/>
        </w:rPr>
        <w:t>7云和县机动车数量预测分析表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9"/>
        <w:gridCol w:w="1276"/>
        <w:gridCol w:w="1253"/>
        <w:gridCol w:w="1157"/>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shd w:val="clear" w:color="auto" w:fill="D8D8D8" w:themeFill="background1" w:themeFillShade="D9"/>
            <w:vAlign w:val="center"/>
          </w:tcPr>
          <w:p>
            <w:pPr>
              <w:pStyle w:val="41"/>
              <w:rPr>
                <w:b/>
                <w:bCs/>
              </w:rPr>
            </w:pPr>
            <w:r>
              <w:rPr>
                <w:rFonts w:hint="eastAsia"/>
                <w:b/>
                <w:bCs/>
              </w:rPr>
              <w:t>年份</w:t>
            </w:r>
          </w:p>
        </w:tc>
        <w:tc>
          <w:tcPr>
            <w:tcW w:w="1276" w:type="dxa"/>
            <w:shd w:val="clear" w:color="auto" w:fill="D8D8D8" w:themeFill="background1" w:themeFillShade="D9"/>
            <w:vAlign w:val="center"/>
          </w:tcPr>
          <w:p>
            <w:pPr>
              <w:pStyle w:val="41"/>
              <w:rPr>
                <w:b/>
                <w:bCs/>
              </w:rPr>
            </w:pPr>
            <w:r>
              <w:rPr>
                <w:b/>
                <w:bCs/>
              </w:rPr>
              <w:t>2016</w:t>
            </w:r>
          </w:p>
        </w:tc>
        <w:tc>
          <w:tcPr>
            <w:tcW w:w="1253" w:type="dxa"/>
            <w:shd w:val="clear" w:color="auto" w:fill="D8D8D8" w:themeFill="background1" w:themeFillShade="D9"/>
            <w:vAlign w:val="center"/>
          </w:tcPr>
          <w:p>
            <w:pPr>
              <w:pStyle w:val="41"/>
              <w:rPr>
                <w:b/>
                <w:bCs/>
              </w:rPr>
            </w:pPr>
            <w:r>
              <w:rPr>
                <w:b/>
                <w:bCs/>
              </w:rPr>
              <w:t>2017</w:t>
            </w:r>
          </w:p>
        </w:tc>
        <w:tc>
          <w:tcPr>
            <w:tcW w:w="1157" w:type="dxa"/>
            <w:shd w:val="clear" w:color="auto" w:fill="D8D8D8" w:themeFill="background1" w:themeFillShade="D9"/>
            <w:vAlign w:val="center"/>
          </w:tcPr>
          <w:p>
            <w:pPr>
              <w:pStyle w:val="41"/>
              <w:rPr>
                <w:b/>
                <w:bCs/>
              </w:rPr>
            </w:pPr>
            <w:r>
              <w:rPr>
                <w:b/>
                <w:bCs/>
              </w:rPr>
              <w:t>2018</w:t>
            </w:r>
          </w:p>
        </w:tc>
        <w:tc>
          <w:tcPr>
            <w:tcW w:w="1276" w:type="dxa"/>
            <w:shd w:val="clear" w:color="auto" w:fill="D8D8D8" w:themeFill="background1" w:themeFillShade="D9"/>
            <w:vAlign w:val="center"/>
          </w:tcPr>
          <w:p>
            <w:pPr>
              <w:pStyle w:val="41"/>
              <w:rPr>
                <w:b/>
                <w:bCs/>
              </w:rPr>
            </w:pPr>
            <w:r>
              <w:rPr>
                <w:b/>
                <w:bCs/>
              </w:rPr>
              <w:t>2019</w:t>
            </w:r>
          </w:p>
        </w:tc>
        <w:tc>
          <w:tcPr>
            <w:tcW w:w="1134" w:type="dxa"/>
            <w:shd w:val="clear" w:color="auto" w:fill="D8D8D8" w:themeFill="background1" w:themeFillShade="D9"/>
            <w:vAlign w:val="center"/>
          </w:tcPr>
          <w:p>
            <w:pPr>
              <w:pStyle w:val="41"/>
              <w:rPr>
                <w:b/>
                <w:bCs/>
              </w:rPr>
            </w:pPr>
            <w:r>
              <w:rPr>
                <w:b/>
                <w:bCs/>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pStyle w:val="41"/>
              <w:rPr>
                <w:bCs/>
              </w:rPr>
            </w:pPr>
            <w:r>
              <w:rPr>
                <w:rFonts w:hint="eastAsia"/>
                <w:bCs/>
              </w:rPr>
              <w:t>机动车数量（辆）</w:t>
            </w:r>
          </w:p>
        </w:tc>
        <w:tc>
          <w:tcPr>
            <w:tcW w:w="1276" w:type="dxa"/>
            <w:vAlign w:val="center"/>
          </w:tcPr>
          <w:p>
            <w:pPr>
              <w:pStyle w:val="41"/>
              <w:rPr>
                <w:bCs/>
              </w:rPr>
            </w:pPr>
            <w:r>
              <w:rPr>
                <w:bCs/>
              </w:rPr>
              <w:t>16</w:t>
            </w:r>
            <w:r>
              <w:rPr>
                <w:rFonts w:hint="eastAsia"/>
                <w:bCs/>
              </w:rPr>
              <w:t>755</w:t>
            </w:r>
          </w:p>
        </w:tc>
        <w:tc>
          <w:tcPr>
            <w:tcW w:w="1253" w:type="dxa"/>
            <w:vAlign w:val="center"/>
          </w:tcPr>
          <w:p>
            <w:pPr>
              <w:pStyle w:val="41"/>
              <w:rPr>
                <w:bCs/>
              </w:rPr>
            </w:pPr>
            <w:r>
              <w:rPr>
                <w:rFonts w:hint="eastAsia"/>
                <w:bCs/>
              </w:rPr>
              <w:t>18333</w:t>
            </w:r>
          </w:p>
        </w:tc>
        <w:tc>
          <w:tcPr>
            <w:tcW w:w="1157" w:type="dxa"/>
            <w:vAlign w:val="center"/>
          </w:tcPr>
          <w:p>
            <w:pPr>
              <w:pStyle w:val="41"/>
              <w:rPr>
                <w:bCs/>
              </w:rPr>
            </w:pPr>
            <w:r>
              <w:rPr>
                <w:bCs/>
              </w:rPr>
              <w:t>199</w:t>
            </w:r>
            <w:r>
              <w:rPr>
                <w:rFonts w:hint="eastAsia"/>
                <w:bCs/>
              </w:rPr>
              <w:t>11</w:t>
            </w:r>
          </w:p>
        </w:tc>
        <w:tc>
          <w:tcPr>
            <w:tcW w:w="1276" w:type="dxa"/>
            <w:vAlign w:val="center"/>
          </w:tcPr>
          <w:p>
            <w:pPr>
              <w:pStyle w:val="41"/>
              <w:rPr>
                <w:bCs/>
              </w:rPr>
            </w:pPr>
            <w:r>
              <w:rPr>
                <w:bCs/>
              </w:rPr>
              <w:t>21</w:t>
            </w:r>
            <w:r>
              <w:rPr>
                <w:rFonts w:hint="eastAsia"/>
                <w:bCs/>
              </w:rPr>
              <w:t>490</w:t>
            </w:r>
          </w:p>
        </w:tc>
        <w:tc>
          <w:tcPr>
            <w:tcW w:w="1134" w:type="dxa"/>
            <w:vAlign w:val="center"/>
          </w:tcPr>
          <w:p>
            <w:pPr>
              <w:pStyle w:val="41"/>
              <w:rPr>
                <w:bCs/>
              </w:rPr>
            </w:pPr>
            <w:r>
              <w:rPr>
                <w:bCs/>
              </w:rPr>
              <w:t>23</w:t>
            </w:r>
            <w:r>
              <w:rPr>
                <w:rFonts w:hint="eastAsia"/>
                <w:bCs/>
              </w:rPr>
              <w:t>068</w:t>
            </w:r>
          </w:p>
        </w:tc>
      </w:tr>
    </w:tbl>
    <w:p>
      <w:pPr>
        <w:ind w:firstLine="420" w:firstLineChars="150"/>
        <w:jc w:val="center"/>
        <w:rPr>
          <w:rFonts w:ascii="宋体" w:cs="Arial"/>
        </w:rPr>
      </w:pPr>
      <w:r>
        <w:drawing>
          <wp:inline distT="0" distB="0" distL="0" distR="0">
            <wp:extent cx="4859655" cy="1691640"/>
            <wp:effectExtent l="0" t="0" r="17145" b="3556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0"/>
        <w:ind w:firstLine="390"/>
      </w:pPr>
      <w:r>
        <w:rPr>
          <w:rFonts w:hint="eastAsia"/>
        </w:rPr>
        <w:t>图</w:t>
      </w:r>
      <w:r>
        <w:t>4-</w:t>
      </w:r>
      <w:r>
        <w:rPr>
          <w:rFonts w:hint="eastAsia"/>
        </w:rPr>
        <w:t>3云和县机动车数量变化趋势图</w:t>
      </w:r>
    </w:p>
    <w:p>
      <w:pPr>
        <w:ind w:firstLine="0" w:firstLineChars="0"/>
        <w:rPr>
          <w:b/>
        </w:rPr>
      </w:pPr>
    </w:p>
    <w:p>
      <w:pPr>
        <w:pStyle w:val="2"/>
        <w:spacing w:after="190"/>
        <w:jc w:val="both"/>
      </w:pPr>
      <w:bookmarkStart w:id="48" w:name="_Toc340220207"/>
      <w:bookmarkStart w:id="49" w:name="_Toc317843301"/>
      <w:r>
        <w:rPr>
          <w:rFonts w:hint="eastAsia"/>
        </w:rPr>
        <w:t>第五章云和道路运输业“十三五”发展思路及目标</w:t>
      </w:r>
      <w:bookmarkEnd w:id="48"/>
      <w:bookmarkEnd w:id="49"/>
    </w:p>
    <w:p>
      <w:pPr>
        <w:pStyle w:val="3"/>
        <w:snapToGrid w:val="0"/>
        <w:spacing w:before="190" w:after="190" w:line="240" w:lineRule="auto"/>
      </w:pPr>
      <w:bookmarkStart w:id="50" w:name="_Toc340220208"/>
      <w:bookmarkStart w:id="51" w:name="_Toc317843303"/>
      <w:r>
        <w:t>5.1</w:t>
      </w:r>
      <w:r>
        <w:rPr>
          <w:rFonts w:hint="eastAsia"/>
        </w:rPr>
        <w:t>指导思想</w:t>
      </w:r>
      <w:bookmarkEnd w:id="50"/>
      <w:bookmarkEnd w:id="51"/>
    </w:p>
    <w:p>
      <w:pPr>
        <w:ind w:firstLine="560"/>
      </w:pPr>
      <w:r>
        <w:rPr>
          <w:rFonts w:hint="eastAsia"/>
        </w:rPr>
        <w:t>坚持中国特色社会主义伟大旗帜，以邓小平理论、“三个代表”重要思想和科学发展观为指导，认真贯彻落实党的十八大会议精神，围绕实现“中国梦”，全面建设“小康社会”，坚持“依法治国”等目标，全面落实“四个全面”战略布局、五大发展理念和深入实施“八八战略”的要求。根据浙江省、丽水市交通运管工作总体部署，仅仅围绕县委、县政府建设“两富”、“两美”、“小县大城”等重大发展战略，立足云和县社会经济发展实际，结合地方特色，全面推进云和县交通运输跨越式发展，全面提升运管队伍形象、地位和道路运输综合服务能力，为推动云和县经济社会发展提供强有力的交通运输保障。</w:t>
      </w:r>
    </w:p>
    <w:p>
      <w:pPr>
        <w:pStyle w:val="3"/>
        <w:snapToGrid w:val="0"/>
        <w:spacing w:before="190" w:after="190" w:line="240" w:lineRule="auto"/>
      </w:pPr>
      <w:bookmarkStart w:id="52" w:name="_Toc340220209"/>
      <w:bookmarkStart w:id="53" w:name="_Toc317843304"/>
      <w:r>
        <w:t>5.</w:t>
      </w:r>
      <w:r>
        <w:rPr>
          <w:rFonts w:hint="eastAsia"/>
        </w:rPr>
        <w:t>2基本原则</w:t>
      </w:r>
      <w:bookmarkEnd w:id="52"/>
      <w:bookmarkEnd w:id="53"/>
    </w:p>
    <w:p>
      <w:pPr>
        <w:ind w:firstLine="0" w:firstLineChars="0"/>
        <w:rPr>
          <w:b/>
        </w:rPr>
      </w:pPr>
      <w:r>
        <w:rPr>
          <w:rFonts w:hint="eastAsia"/>
          <w:b/>
        </w:rPr>
        <w:t>（</w:t>
      </w:r>
      <w:r>
        <w:rPr>
          <w:b/>
        </w:rPr>
        <w:t>1</w:t>
      </w:r>
      <w:r>
        <w:rPr>
          <w:rFonts w:hint="eastAsia"/>
          <w:b/>
        </w:rPr>
        <w:t>）稳中求进，适度超前，坚持“四个全面”战略布局为统领</w:t>
      </w:r>
    </w:p>
    <w:p>
      <w:pPr>
        <w:ind w:firstLine="560"/>
        <w:rPr>
          <w:rFonts w:ascii="宋体"/>
          <w:szCs w:val="28"/>
        </w:rPr>
      </w:pPr>
      <w:r>
        <w:rPr>
          <w:rFonts w:hint="eastAsia" w:ascii="宋体" w:hAnsi="宋体"/>
          <w:szCs w:val="28"/>
        </w:rPr>
        <w:t>全面建成小康社会是我国“十三五”发展的总目标，全面深化改革和全面依法治国是实现“十三五”发展目标的根本手段，全面从严治党是“十三五”发展目标的根本保障，四者完整构成了统领“十三五”发展的战略布局。为此，必须以“四个全面”战略布局为统领，紧紧围绕全面建成小康社会战略目标，确保经济持续平稳健康发展和社会和谐稳定，不断增进人民福祉、促进人的全面发展。云和县“十三五”期间道路运输发展要把发展作为第一要务，制定符合云和县社会经济发展相适应的发展道路。保持一定的发展速度，努力实现运输基础设施能力适度超前配置，大力推进云和县综合交通运输体系建设，为全面建设小康社会贡献力量。</w:t>
      </w:r>
    </w:p>
    <w:p>
      <w:pPr>
        <w:ind w:firstLine="0" w:firstLineChars="0"/>
        <w:rPr>
          <w:b/>
        </w:rPr>
      </w:pPr>
      <w:r>
        <w:rPr>
          <w:rFonts w:hint="eastAsia"/>
          <w:b/>
        </w:rPr>
        <w:t>（</w:t>
      </w:r>
      <w:r>
        <w:rPr>
          <w:b/>
        </w:rPr>
        <w:t>2</w:t>
      </w:r>
      <w:r>
        <w:rPr>
          <w:rFonts w:hint="eastAsia"/>
          <w:b/>
        </w:rPr>
        <w:t>）服务以人为本，提质增效，坚持以五大发展理念为引领</w:t>
      </w:r>
    </w:p>
    <w:p>
      <w:pPr>
        <w:ind w:firstLine="560"/>
      </w:pPr>
      <w:r>
        <w:rPr>
          <w:rFonts w:hint="eastAsia"/>
        </w:rPr>
        <w:t>五大发展理念是关系我国发展全局的一场深刻变革，是把握发展机遇、厚植发展优势、超越发展困难、赢得发展主动的重大战略抉择，是“十三五”乃至更长时期我国发展思路、发展方向、发展着力点的集中体现。“十三五”道路运输发展要把建设人民群众满意交通作为出发点和落脚点，突出交通运输行业的服务属性，着力提升道路运输服务水平，努力实现“人便于行、货畅其流”的目标。此外，把提升道路运输相关行业的提质增效升级作为政府衡量道路运输行业发展的衡量标准，切实处理好发展的速度、质量、效益的关系，加快以科技进步和信息化引领道路运输业现代化发展，努力推进道路运输相关行业转型升级。</w:t>
      </w:r>
    </w:p>
    <w:p>
      <w:pPr>
        <w:ind w:firstLine="0" w:firstLineChars="0"/>
        <w:rPr>
          <w:b/>
        </w:rPr>
      </w:pPr>
      <w:r>
        <w:rPr>
          <w:rFonts w:hint="eastAsia"/>
          <w:b/>
        </w:rPr>
        <w:t>（</w:t>
      </w:r>
      <w:r>
        <w:rPr>
          <w:b/>
        </w:rPr>
        <w:t>3</w:t>
      </w:r>
      <w:r>
        <w:rPr>
          <w:rFonts w:hint="eastAsia"/>
          <w:b/>
        </w:rPr>
        <w:t>）坚定走生产发展、生活富裕、生态良好的文明发展道路</w:t>
      </w:r>
    </w:p>
    <w:p>
      <w:pPr>
        <w:ind w:firstLine="560"/>
        <w:rPr>
          <w:rFonts w:ascii="MS Reference Sans Serif" w:hAnsi="MS Reference Sans Serif" w:cs="MS Reference Sans Serif"/>
        </w:rPr>
      </w:pPr>
      <w:r>
        <w:rPr>
          <w:rFonts w:hint="eastAsia"/>
        </w:rPr>
        <w:t>“十三五”云和县继续坚持实施生态强县战略，切实</w:t>
      </w:r>
      <w:r>
        <w:rPr>
          <w:rFonts w:hint="eastAsia" w:ascii="MS Reference Sans Serif" w:hAnsi="MS Reference Sans Serif" w:cs="MS Reference Sans Serif"/>
        </w:rPr>
        <w:t>履行可持续发展模式，发展低碳交通，优化运输组织，实现各种运输方式的无缝对接，努力提高交通运输体系的整体效能，创建以“高效能、低污染、低排放、低消耗”为主要评价标准的资源节约、环境友好的道路运输行业。</w:t>
      </w:r>
    </w:p>
    <w:p>
      <w:pPr>
        <w:ind w:firstLine="0" w:firstLineChars="0"/>
        <w:rPr>
          <w:b/>
        </w:rPr>
      </w:pPr>
      <w:r>
        <w:rPr>
          <w:rFonts w:hint="eastAsia"/>
          <w:b/>
        </w:rPr>
        <w:t>（</w:t>
      </w:r>
      <w:r>
        <w:rPr>
          <w:b/>
        </w:rPr>
        <w:t>4</w:t>
      </w:r>
      <w:r>
        <w:rPr>
          <w:rFonts w:hint="eastAsia"/>
          <w:b/>
        </w:rPr>
        <w:t>）深化改革，创新驱动，推动实现更高质量、可持续的发展</w:t>
      </w:r>
    </w:p>
    <w:p>
      <w:pPr>
        <w:ind w:firstLine="560"/>
      </w:pPr>
      <w:r>
        <w:rPr>
          <w:rFonts w:hint="eastAsia"/>
        </w:rPr>
        <w:t>改革将是“十三五”道路运输发展的重点工作，将管理方式创新、管理制度创新作为强大动力全面深入道路运输重点领域和关键环节，增强道路运输改革的系统性、整体性、协同性。加快管理体制机制创新、政策创新、管理创新，进一步发挥市场配置交通运输资源的决定性作用，充分发挥政府在道路运输发展过程中的能动作用，推进行业治理体系和治理能力现代化。面对道路运输发展过程中的不稳定因素，云和县道路运输将遇到更加复杂的环境，这就需要行业主管部门用创新的思维去面对和解决发展中存在的问题，更好地发挥道路运输在综合运输体系中的特殊作用，并体现其在服务民生中的特定地位。</w:t>
      </w:r>
    </w:p>
    <w:p>
      <w:pPr>
        <w:pStyle w:val="3"/>
        <w:snapToGrid w:val="0"/>
        <w:spacing w:before="190" w:after="190" w:line="240" w:lineRule="auto"/>
      </w:pPr>
      <w:bookmarkStart w:id="54" w:name="_Toc340220210"/>
      <w:bookmarkStart w:id="55" w:name="_Toc317843305"/>
      <w:r>
        <w:t>5.</w:t>
      </w:r>
      <w:r>
        <w:rPr>
          <w:rFonts w:hint="eastAsia"/>
        </w:rPr>
        <w:t>3十三五”发展目标</w:t>
      </w:r>
      <w:bookmarkEnd w:id="54"/>
      <w:bookmarkEnd w:id="55"/>
    </w:p>
    <w:p>
      <w:pPr>
        <w:pStyle w:val="44"/>
        <w:spacing w:before="190" w:after="190"/>
        <w:outlineLvl w:val="2"/>
      </w:pPr>
      <w:bookmarkStart w:id="56" w:name="_Toc317843306"/>
      <w:r>
        <w:t>5.</w:t>
      </w:r>
      <w:r>
        <w:rPr>
          <w:rFonts w:hint="eastAsia"/>
        </w:rPr>
        <w:t>3</w:t>
      </w:r>
      <w:r>
        <w:t>.1</w:t>
      </w:r>
      <w:r>
        <w:rPr>
          <w:rFonts w:hint="eastAsia"/>
        </w:rPr>
        <w:t>总目标</w:t>
      </w:r>
      <w:bookmarkEnd w:id="56"/>
    </w:p>
    <w:p>
      <w:pPr>
        <w:ind w:firstLine="560"/>
        <w:rPr>
          <w:rFonts w:ascii="Menlo Bold" w:hAnsi="Menlo Bold" w:cs="Menlo Bold"/>
        </w:rPr>
      </w:pPr>
      <w:r>
        <w:rPr>
          <w:rFonts w:hint="eastAsia"/>
        </w:rPr>
        <w:t>习近平总书记在浙江考察时，明确要求我省“在提高全面建成小康社会水平上更进一步”。我省是沿海发达省份，具有很好的现实条件和工作基础。“十三五”时期必须高水平全面建成小康社会，努力成为我国全面建成小康社会的好样板。因此，“十三五”是云和县全面建成小康社会重要时期，到</w:t>
      </w:r>
      <w:r>
        <w:t>2020</w:t>
      </w:r>
      <w:r>
        <w:rPr>
          <w:rFonts w:hint="eastAsia"/>
        </w:rPr>
        <w:t>年末，云和县基本形成安全、高效、便捷、绿色的现代综合交通运输体系，道路运输行业基本形成基础设施衔接顺畅、运输服务便捷高效、科技信息广泛采用、资源环境低碳绿色、安全应急可靠高效、行业管理规范有序的</w:t>
      </w:r>
      <w:r>
        <w:rPr>
          <w:rFonts w:hint="eastAsia" w:ascii="Menlo Bold" w:hAnsi="Menlo Bold" w:cs="Menlo Bold"/>
        </w:rPr>
        <w:t>新格局。道路运输发展适应社会经济发展需求，充分发挥各种运输方式在道路运输中的各自优势，推进云和县社会经济持续、稳定发展。</w:t>
      </w:r>
    </w:p>
    <w:p>
      <w:pPr>
        <w:pStyle w:val="44"/>
        <w:spacing w:before="190" w:after="190"/>
        <w:outlineLvl w:val="2"/>
      </w:pPr>
      <w:bookmarkStart w:id="57" w:name="_Toc317843307"/>
      <w:r>
        <w:t>5.</w:t>
      </w:r>
      <w:r>
        <w:rPr>
          <w:rFonts w:hint="eastAsia"/>
        </w:rPr>
        <w:t>3</w:t>
      </w:r>
      <w:r>
        <w:t>.2</w:t>
      </w:r>
      <w:r>
        <w:rPr>
          <w:rFonts w:hint="eastAsia"/>
        </w:rPr>
        <w:t>具体目标</w:t>
      </w:r>
      <w:bookmarkEnd w:id="57"/>
    </w:p>
    <w:p>
      <w:pPr>
        <w:ind w:firstLine="185" w:firstLineChars="66"/>
        <w:rPr>
          <w:b/>
        </w:rPr>
      </w:pPr>
      <w:r>
        <w:rPr>
          <w:b/>
        </w:rPr>
        <w:t>——</w:t>
      </w:r>
      <w:r>
        <w:rPr>
          <w:rFonts w:hint="eastAsia"/>
          <w:b/>
        </w:rPr>
        <w:t>规划先行</w:t>
      </w:r>
    </w:p>
    <w:p>
      <w:pPr>
        <w:ind w:firstLine="560"/>
      </w:pPr>
      <w:r>
        <w:rPr>
          <w:rFonts w:hint="eastAsia"/>
        </w:rPr>
        <w:t>“十三五”期间，加快道路运输行业相关领域前期研究，做好道路运输发展顶层设计。争取到</w:t>
      </w:r>
      <w:r>
        <w:t>2020</w:t>
      </w:r>
      <w:r>
        <w:rPr>
          <w:rFonts w:hint="eastAsia"/>
        </w:rPr>
        <w:t>年底完成下列研究、规划和政策出台：</w:t>
      </w:r>
    </w:p>
    <w:p>
      <w:pPr>
        <w:pStyle w:val="32"/>
        <w:numPr>
          <w:ilvl w:val="0"/>
          <w:numId w:val="1"/>
        </w:numPr>
        <w:ind w:firstLineChars="0"/>
        <w:rPr>
          <w:b/>
        </w:rPr>
      </w:pPr>
      <w:r>
        <w:rPr>
          <w:rFonts w:hint="eastAsia"/>
        </w:rPr>
        <w:t>《云和县物流业发展规划》；</w:t>
      </w:r>
    </w:p>
    <w:p>
      <w:pPr>
        <w:pStyle w:val="32"/>
        <w:numPr>
          <w:ilvl w:val="0"/>
          <w:numId w:val="1"/>
        </w:numPr>
        <w:ind w:firstLineChars="0"/>
        <w:rPr>
          <w:b/>
        </w:rPr>
      </w:pPr>
      <w:r>
        <w:rPr>
          <w:rFonts w:hint="eastAsia"/>
        </w:rPr>
        <w:t>《云和县公交优先发展五年计划》；</w:t>
      </w:r>
    </w:p>
    <w:p>
      <w:pPr>
        <w:pStyle w:val="32"/>
        <w:numPr>
          <w:ilvl w:val="0"/>
          <w:numId w:val="1"/>
        </w:numPr>
        <w:ind w:firstLineChars="0"/>
        <w:rPr>
          <w:b/>
        </w:rPr>
      </w:pPr>
      <w:r>
        <w:rPr>
          <w:rFonts w:hint="eastAsia"/>
        </w:rPr>
        <w:t>《云和县慢行交通规划》；</w:t>
      </w:r>
    </w:p>
    <w:p>
      <w:pPr>
        <w:pStyle w:val="32"/>
        <w:numPr>
          <w:ilvl w:val="0"/>
          <w:numId w:val="1"/>
        </w:numPr>
        <w:ind w:firstLineChars="0"/>
        <w:rPr>
          <w:b/>
        </w:rPr>
      </w:pPr>
      <w:r>
        <w:rPr>
          <w:rFonts w:hint="eastAsia"/>
        </w:rPr>
        <w:t>《云和县旅游客运发展规划》；</w:t>
      </w:r>
    </w:p>
    <w:p>
      <w:pPr>
        <w:pStyle w:val="32"/>
        <w:numPr>
          <w:ilvl w:val="0"/>
          <w:numId w:val="1"/>
        </w:numPr>
        <w:ind w:firstLineChars="0"/>
        <w:rPr>
          <w:b/>
        </w:rPr>
      </w:pPr>
      <w:r>
        <w:rPr>
          <w:rFonts w:hint="eastAsia"/>
        </w:rPr>
        <w:t>《关于促进云和县物流业发展相关意见》。</w:t>
      </w:r>
    </w:p>
    <w:p>
      <w:pPr>
        <w:ind w:firstLine="185" w:firstLineChars="66"/>
        <w:rPr>
          <w:b/>
        </w:rPr>
      </w:pPr>
      <w:r>
        <w:rPr>
          <w:b/>
        </w:rPr>
        <w:t>——</w:t>
      </w:r>
      <w:r>
        <w:rPr>
          <w:rFonts w:hint="eastAsia"/>
          <w:b/>
        </w:rPr>
        <w:t>基础设施</w:t>
      </w:r>
    </w:p>
    <w:p>
      <w:pPr>
        <w:ind w:firstLine="562"/>
        <w:rPr>
          <w:b/>
        </w:rPr>
      </w:pPr>
      <w:r>
        <w:rPr>
          <w:rFonts w:hint="eastAsia"/>
          <w:b/>
        </w:rPr>
        <w:t>（</w:t>
      </w:r>
      <w:r>
        <w:rPr>
          <w:b/>
        </w:rPr>
        <w:t>1</w:t>
      </w:r>
      <w:r>
        <w:rPr>
          <w:rFonts w:hint="eastAsia"/>
          <w:b/>
        </w:rPr>
        <w:t>）客运站场</w:t>
      </w:r>
    </w:p>
    <w:p>
      <w:pPr>
        <w:ind w:firstLine="560"/>
      </w:pPr>
      <w:r>
        <w:rPr>
          <w:rFonts w:hint="eastAsia"/>
        </w:rPr>
        <w:t>坚持“综合化、市场化、信息化”为宗旨，提高云和县道路旅客运输能力。“十三五”期间云和县进一步完善城镇客、货运站场建设，优化站点布局，加强与公路、城市道路、城市公交系统和其他运输方式的站场进行有效衔接。截止到</w:t>
      </w:r>
      <w:r>
        <w:t>2020</w:t>
      </w:r>
      <w:r>
        <w:rPr>
          <w:rFonts w:hint="eastAsia"/>
        </w:rPr>
        <w:t>年，云和县将计划新建客运站（二级站）1个，占地26169平方米，建筑面积，15000平方米，计划总投资1亿元，其中“十三五”期间投资5000万元。（具体布局见图5-1）。</w:t>
      </w:r>
    </w:p>
    <w:p>
      <w:pPr>
        <w:pStyle w:val="60"/>
      </w:pPr>
      <w:r>
        <w:rPr>
          <w:rFonts w:hint="eastAsia"/>
        </w:rPr>
        <w:drawing>
          <wp:inline distT="0" distB="0" distL="0" distR="0">
            <wp:extent cx="5036820" cy="2907030"/>
            <wp:effectExtent l="0" t="0" r="0" b="0"/>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34">
                      <a:extLst>
                        <a:ext uri="{28A0092B-C50C-407E-A947-70E740481C1C}">
                          <a14:useLocalDpi xmlns:a14="http://schemas.microsoft.com/office/drawing/2010/main" val="false"/>
                        </a:ext>
                      </a:extLst>
                    </a:blip>
                    <a:stretch>
                      <a:fillRect/>
                    </a:stretch>
                  </pic:blipFill>
                  <pic:spPr>
                    <a:xfrm>
                      <a:off x="0" y="0"/>
                      <a:ext cx="5048285" cy="2913884"/>
                    </a:xfrm>
                    <a:prstGeom prst="rect">
                      <a:avLst/>
                    </a:prstGeom>
                  </pic:spPr>
                </pic:pic>
              </a:graphicData>
            </a:graphic>
          </wp:inline>
        </w:drawing>
      </w:r>
    </w:p>
    <w:p>
      <w:pPr>
        <w:pStyle w:val="60"/>
      </w:pPr>
      <w:r>
        <w:rPr>
          <w:rFonts w:hint="eastAsia"/>
        </w:rPr>
        <w:t>图5-1客运站场枢纽规划图</w:t>
      </w:r>
    </w:p>
    <w:p>
      <w:pPr>
        <w:ind w:firstLine="562"/>
        <w:rPr>
          <w:b/>
        </w:rPr>
      </w:pPr>
      <w:r>
        <w:rPr>
          <w:rFonts w:hint="eastAsia"/>
          <w:b/>
        </w:rPr>
        <w:t>（</w:t>
      </w:r>
      <w:r>
        <w:rPr>
          <w:b/>
        </w:rPr>
        <w:t>2</w:t>
      </w:r>
      <w:r>
        <w:rPr>
          <w:rFonts w:hint="eastAsia"/>
          <w:b/>
        </w:rPr>
        <w:t>）货运站场</w:t>
      </w:r>
    </w:p>
    <w:p>
      <w:pPr>
        <w:ind w:firstLine="560"/>
        <w:rPr>
          <w:rFonts w:ascii="宋体" w:hAnsi="宋体"/>
          <w:color w:val="000000"/>
        </w:rPr>
      </w:pPr>
      <w:r>
        <w:rPr>
          <w:rFonts w:hint="eastAsia"/>
        </w:rPr>
        <w:t>根据云和县经济发展特点，围绕服务区域工业化、市场化、城市化和新农村建设，提高云和县道路运输货运能力，加快云和县产业经济转型，为产业转型升级提供较好的货运保障。计划在“十三五”期间建设1个物流基地，占地20000平方米，建筑面积达到15000平方米。计划投资2000万元，预计“十三五”期间投资率达到100%。同时，“十三五”将建设10个客货运一体站，分别是叶垟客货运一体站、石塘客货运一体站、朱村客货运一体站、大源客货运一体站、双港客货运一体站、库北客货运一体站、</w:t>
      </w:r>
      <w:r>
        <w:rPr>
          <w:rFonts w:hint="eastAsia" w:ascii="宋体" w:hAnsi="宋体"/>
          <w:color w:val="000000"/>
        </w:rPr>
        <w:t>梓坊客货运一体站、麻垟客货运一体站、局村客货运一体站、金村客货运一体站，10个客货运一体站占地面积将达到13400平方米，到2020年底，预计投资2200万元。（具体布局如图</w:t>
      </w:r>
      <w:r>
        <w:rPr>
          <w:rFonts w:hint="eastAsia"/>
        </w:rPr>
        <w:t>5-2</w:t>
      </w:r>
      <w:r>
        <w:rPr>
          <w:rFonts w:hint="eastAsia" w:ascii="宋体" w:hAnsi="宋体"/>
          <w:color w:val="000000"/>
        </w:rPr>
        <w:t>）</w:t>
      </w:r>
    </w:p>
    <w:p>
      <w:pPr>
        <w:widowControl/>
        <w:spacing w:line="240" w:lineRule="auto"/>
        <w:ind w:firstLine="560" w:firstLineChars="0"/>
        <w:jc w:val="left"/>
        <w:rPr>
          <w:rFonts w:ascii="宋体" w:hAnsi="宋体" w:cs="宋体"/>
          <w:sz w:val="24"/>
          <w:szCs w:val="24"/>
        </w:rPr>
      </w:pPr>
      <w:r>
        <w:rPr>
          <w:rFonts w:hint="eastAsia" w:ascii="宋体" w:hAnsi="宋体" w:cs="宋体"/>
          <w:sz w:val="24"/>
          <w:szCs w:val="24"/>
        </w:rPr>
        <w:t xml:space="preserve">   </w:t>
      </w:r>
      <w:r>
        <w:rPr>
          <w:rFonts w:ascii="宋体" w:hAnsi="宋体" w:cs="宋体"/>
          <w:sz w:val="24"/>
          <w:szCs w:val="24"/>
        </w:rPr>
        <w:drawing>
          <wp:inline distT="0" distB="0" distL="0" distR="0">
            <wp:extent cx="4376420" cy="2795905"/>
            <wp:effectExtent l="19050" t="0" r="4687" b="0"/>
            <wp:docPr id="2" name="图片 1" descr="C:\Users\Administrator\AppData\Roaming\Tencent\Users\261125855\QQ\WinTemp\RichOle\6$X%KIA}0(I}~DTKA2CTY3J.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261125855\QQ\WinTemp\RichOle\6$X%KIA}0(I}~DTKA2CTY3J.png"/>
                    <pic:cNvPicPr>
                      <a:picLocks noChangeAspect="true" noChangeArrowheads="true"/>
                    </pic:cNvPicPr>
                  </pic:nvPicPr>
                  <pic:blipFill>
                    <a:blip r:embed="rId35"/>
                    <a:srcRect/>
                    <a:stretch>
                      <a:fillRect/>
                    </a:stretch>
                  </pic:blipFill>
                  <pic:spPr>
                    <a:xfrm>
                      <a:off x="0" y="0"/>
                      <a:ext cx="4379589" cy="2798200"/>
                    </a:xfrm>
                    <a:prstGeom prst="rect">
                      <a:avLst/>
                    </a:prstGeom>
                    <a:noFill/>
                    <a:ln w="9525">
                      <a:noFill/>
                      <a:miter lim="800000"/>
                      <a:headEnd/>
                      <a:tailEnd/>
                    </a:ln>
                  </pic:spPr>
                </pic:pic>
              </a:graphicData>
            </a:graphic>
          </wp:inline>
        </w:drawing>
      </w:r>
    </w:p>
    <w:p>
      <w:pPr>
        <w:ind w:left="566" w:leftChars="202" w:firstLine="0" w:firstLineChars="0"/>
      </w:pPr>
    </w:p>
    <w:p>
      <w:pPr>
        <w:pStyle w:val="60"/>
      </w:pPr>
      <w:r>
        <w:rPr>
          <w:rFonts w:hint="eastAsia"/>
        </w:rPr>
        <w:t>图5-2货运站场枢纽规划图</w:t>
      </w:r>
    </w:p>
    <w:p>
      <w:pPr>
        <w:ind w:firstLine="562"/>
        <w:rPr>
          <w:b/>
        </w:rPr>
      </w:pPr>
    </w:p>
    <w:p>
      <w:pPr>
        <w:ind w:firstLine="562"/>
        <w:rPr>
          <w:b/>
        </w:rPr>
      </w:pPr>
      <w:r>
        <w:rPr>
          <w:rFonts w:hint="eastAsia"/>
          <w:b/>
        </w:rPr>
        <w:t>（3）公交枢纽站场</w:t>
      </w:r>
    </w:p>
    <w:p>
      <w:pPr>
        <w:ind w:firstLine="560"/>
      </w:pPr>
      <w:r>
        <w:rPr>
          <w:rFonts w:hint="eastAsia"/>
        </w:rPr>
        <w:t>城市公交站场建设方面，截止到</w:t>
      </w:r>
      <w:r>
        <w:t>2020</w:t>
      </w:r>
      <w:r>
        <w:rPr>
          <w:rFonts w:hint="eastAsia"/>
        </w:rPr>
        <w:t>年，云和县将建成1个公交车停保场（中型站）（城南首末站），该首末站同时还兼具公交首末站、城乡客运集散及旅游集散功能，能够满足客流集散、场站管理、车辆停放、调度管理、车辆清洗、车辆检修及后勤保障等功能。该公交停保场占地面积将达到10000平方米，预计“十三五”末投资额将达到3000万元。力争到2020年，新改建100个公交候车亭，农村城乡停靠站100个，到“十三五”末期，完成投资额1000万元。截止到2020年，符合条件的设置港湾式停靠站，覆盖率达到95%以上，行政村候车厅覆盖率达到90%以上。</w:t>
      </w:r>
    </w:p>
    <w:p>
      <w:pPr>
        <w:pStyle w:val="60"/>
      </w:pPr>
      <w:r>
        <w:rPr>
          <w:rFonts w:hint="eastAsia"/>
        </w:rPr>
        <w:t>表5-1云和县“十三五”道路运输站场建设项目规划表单位：万元</w:t>
      </w:r>
    </w:p>
    <w:tbl>
      <w:tblPr>
        <w:tblStyle w:val="24"/>
        <w:tblW w:w="921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258"/>
        <w:gridCol w:w="1145"/>
        <w:gridCol w:w="368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D8D8D8" w:themeFill="background1" w:themeFillShade="D9"/>
            <w:vAlign w:val="center"/>
          </w:tcPr>
          <w:p>
            <w:pPr>
              <w:ind w:firstLine="0" w:firstLineChars="0"/>
              <w:jc w:val="center"/>
              <w:rPr>
                <w:b/>
                <w:bCs/>
                <w:sz w:val="24"/>
              </w:rPr>
            </w:pPr>
            <w:r>
              <w:rPr>
                <w:rFonts w:hint="eastAsia"/>
                <w:b/>
                <w:bCs/>
                <w:sz w:val="24"/>
              </w:rPr>
              <w:t>序号</w:t>
            </w:r>
          </w:p>
        </w:tc>
        <w:tc>
          <w:tcPr>
            <w:tcW w:w="2258" w:type="dxa"/>
            <w:shd w:val="clear" w:color="auto" w:fill="D8D8D8" w:themeFill="background1" w:themeFillShade="D9"/>
            <w:vAlign w:val="center"/>
          </w:tcPr>
          <w:p>
            <w:pPr>
              <w:ind w:firstLine="0" w:firstLineChars="0"/>
              <w:jc w:val="center"/>
              <w:rPr>
                <w:b/>
                <w:bCs/>
                <w:sz w:val="24"/>
              </w:rPr>
            </w:pPr>
            <w:r>
              <w:rPr>
                <w:rFonts w:hint="eastAsia"/>
                <w:b/>
                <w:bCs/>
                <w:sz w:val="24"/>
              </w:rPr>
              <w:t>项目名称</w:t>
            </w:r>
          </w:p>
        </w:tc>
        <w:tc>
          <w:tcPr>
            <w:tcW w:w="1145" w:type="dxa"/>
            <w:shd w:val="clear" w:color="auto" w:fill="D8D8D8" w:themeFill="background1" w:themeFillShade="D9"/>
            <w:vAlign w:val="center"/>
          </w:tcPr>
          <w:p>
            <w:pPr>
              <w:ind w:firstLine="0" w:firstLineChars="0"/>
              <w:jc w:val="center"/>
              <w:rPr>
                <w:b/>
                <w:bCs/>
                <w:sz w:val="24"/>
              </w:rPr>
            </w:pPr>
            <w:r>
              <w:rPr>
                <w:rFonts w:hint="eastAsia"/>
                <w:b/>
                <w:bCs/>
                <w:sz w:val="24"/>
              </w:rPr>
              <w:t>总投资</w:t>
            </w:r>
          </w:p>
        </w:tc>
        <w:tc>
          <w:tcPr>
            <w:tcW w:w="3686" w:type="dxa"/>
            <w:shd w:val="clear" w:color="auto" w:fill="D8D8D8" w:themeFill="background1" w:themeFillShade="D9"/>
            <w:vAlign w:val="center"/>
          </w:tcPr>
          <w:p>
            <w:pPr>
              <w:ind w:firstLine="0" w:firstLineChars="0"/>
              <w:jc w:val="center"/>
              <w:rPr>
                <w:b/>
                <w:bCs/>
                <w:sz w:val="24"/>
              </w:rPr>
            </w:pPr>
            <w:r>
              <w:rPr>
                <w:rFonts w:hint="eastAsia"/>
                <w:b/>
                <w:bCs/>
                <w:sz w:val="24"/>
              </w:rPr>
              <w:t>建设规模</w:t>
            </w:r>
          </w:p>
        </w:tc>
        <w:tc>
          <w:tcPr>
            <w:tcW w:w="1417" w:type="dxa"/>
            <w:shd w:val="clear" w:color="auto" w:fill="D8D8D8" w:themeFill="background1" w:themeFillShade="D9"/>
            <w:vAlign w:val="center"/>
          </w:tcPr>
          <w:p>
            <w:pPr>
              <w:ind w:firstLine="0" w:firstLineChars="0"/>
              <w:jc w:val="center"/>
              <w:rPr>
                <w:b/>
                <w:bCs/>
                <w:sz w:val="24"/>
              </w:rPr>
            </w:pPr>
            <w:r>
              <w:rPr>
                <w:rFonts w:hint="eastAsia"/>
                <w:b/>
                <w:bCs/>
                <w:sz w:val="24"/>
              </w:rPr>
              <w:t>“十三五”</w:t>
            </w:r>
          </w:p>
          <w:p>
            <w:pPr>
              <w:ind w:firstLine="0" w:firstLineChars="0"/>
              <w:jc w:val="center"/>
              <w:rPr>
                <w:b/>
                <w:bCs/>
                <w:sz w:val="24"/>
              </w:rPr>
            </w:pPr>
            <w:r>
              <w:rPr>
                <w:rFonts w:hint="eastAsia"/>
                <w:b/>
                <w:bCs/>
                <w:sz w:val="24"/>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1</w:t>
            </w:r>
          </w:p>
        </w:tc>
        <w:tc>
          <w:tcPr>
            <w:tcW w:w="2258" w:type="dxa"/>
            <w:vAlign w:val="center"/>
          </w:tcPr>
          <w:p>
            <w:pPr>
              <w:ind w:firstLine="0" w:firstLineChars="0"/>
              <w:jc w:val="center"/>
              <w:rPr>
                <w:bCs/>
                <w:sz w:val="24"/>
              </w:rPr>
            </w:pPr>
            <w:r>
              <w:rPr>
                <w:rFonts w:hint="eastAsia" w:ascii="宋体" w:hAnsi="宋体"/>
                <w:bCs/>
                <w:color w:val="000000"/>
                <w:sz w:val="24"/>
              </w:rPr>
              <w:t>叶垟客货运一体站</w:t>
            </w:r>
          </w:p>
        </w:tc>
        <w:tc>
          <w:tcPr>
            <w:tcW w:w="1145" w:type="dxa"/>
            <w:vAlign w:val="center"/>
          </w:tcPr>
          <w:p>
            <w:pPr>
              <w:ind w:firstLine="0" w:firstLineChars="0"/>
              <w:jc w:val="center"/>
              <w:rPr>
                <w:bCs/>
                <w:sz w:val="24"/>
              </w:rPr>
            </w:pPr>
            <w:r>
              <w:rPr>
                <w:rFonts w:hint="eastAsia" w:ascii="宋体" w:hAnsi="宋体"/>
                <w:bCs/>
                <w:color w:val="000000"/>
                <w:sz w:val="24"/>
              </w:rPr>
              <w:t>300</w:t>
            </w:r>
          </w:p>
        </w:tc>
        <w:tc>
          <w:tcPr>
            <w:tcW w:w="3686" w:type="dxa"/>
            <w:vAlign w:val="center"/>
          </w:tcPr>
          <w:p>
            <w:pPr>
              <w:ind w:firstLine="0" w:firstLineChars="0"/>
              <w:jc w:val="center"/>
              <w:rPr>
                <w:bCs/>
                <w:sz w:val="24"/>
              </w:rPr>
            </w:pPr>
            <w:r>
              <w:rPr>
                <w:rFonts w:hint="eastAsia" w:ascii="宋体" w:hAnsi="宋体"/>
                <w:bCs/>
                <w:color w:val="000000"/>
                <w:sz w:val="24"/>
              </w:rPr>
              <w:t>占地2000㎡、建筑300㎡</w:t>
            </w:r>
          </w:p>
        </w:tc>
        <w:tc>
          <w:tcPr>
            <w:tcW w:w="1417" w:type="dxa"/>
            <w:vAlign w:val="center"/>
          </w:tcPr>
          <w:p>
            <w:pPr>
              <w:ind w:firstLine="0" w:firstLineChars="0"/>
              <w:jc w:val="center"/>
              <w:rPr>
                <w:bCs/>
                <w:sz w:val="24"/>
              </w:rPr>
            </w:pPr>
            <w:r>
              <w:rPr>
                <w:rFonts w:hint="eastAsia" w:ascii="宋体" w:hAnsi="宋体"/>
                <w:bCs/>
                <w:color w:val="000000"/>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2</w:t>
            </w:r>
          </w:p>
        </w:tc>
        <w:tc>
          <w:tcPr>
            <w:tcW w:w="2258" w:type="dxa"/>
            <w:vAlign w:val="center"/>
          </w:tcPr>
          <w:p>
            <w:pPr>
              <w:ind w:firstLine="0" w:firstLineChars="0"/>
              <w:jc w:val="center"/>
              <w:rPr>
                <w:bCs/>
                <w:sz w:val="24"/>
              </w:rPr>
            </w:pPr>
            <w:r>
              <w:rPr>
                <w:rFonts w:hint="eastAsia" w:ascii="宋体" w:hAnsi="宋体"/>
                <w:bCs/>
                <w:color w:val="000000"/>
                <w:sz w:val="24"/>
              </w:rPr>
              <w:t>石塘客货运一体站</w:t>
            </w:r>
          </w:p>
        </w:tc>
        <w:tc>
          <w:tcPr>
            <w:tcW w:w="1145" w:type="dxa"/>
            <w:vAlign w:val="center"/>
          </w:tcPr>
          <w:p>
            <w:pPr>
              <w:ind w:firstLine="0" w:firstLineChars="0"/>
              <w:jc w:val="center"/>
              <w:rPr>
                <w:bCs/>
                <w:sz w:val="24"/>
              </w:rPr>
            </w:pPr>
            <w:r>
              <w:rPr>
                <w:rFonts w:hint="eastAsia" w:ascii="宋体" w:hAnsi="宋体"/>
                <w:bCs/>
                <w:color w:val="000000"/>
                <w:sz w:val="24"/>
              </w:rPr>
              <w:t>300</w:t>
            </w:r>
          </w:p>
        </w:tc>
        <w:tc>
          <w:tcPr>
            <w:tcW w:w="3686" w:type="dxa"/>
            <w:vAlign w:val="center"/>
          </w:tcPr>
          <w:p>
            <w:pPr>
              <w:ind w:firstLine="0" w:firstLineChars="0"/>
              <w:jc w:val="center"/>
              <w:rPr>
                <w:bCs/>
                <w:sz w:val="24"/>
              </w:rPr>
            </w:pPr>
            <w:r>
              <w:rPr>
                <w:rFonts w:hint="eastAsia" w:ascii="宋体" w:hAnsi="宋体"/>
                <w:bCs/>
                <w:color w:val="000000"/>
                <w:sz w:val="24"/>
              </w:rPr>
              <w:t>占地1500㎡、建筑500㎡</w:t>
            </w:r>
          </w:p>
        </w:tc>
        <w:tc>
          <w:tcPr>
            <w:tcW w:w="1417" w:type="dxa"/>
            <w:vAlign w:val="center"/>
          </w:tcPr>
          <w:p>
            <w:pPr>
              <w:ind w:firstLine="0" w:firstLineChars="0"/>
              <w:jc w:val="center"/>
              <w:rPr>
                <w:bCs/>
                <w:sz w:val="24"/>
              </w:rPr>
            </w:pPr>
            <w:r>
              <w:rPr>
                <w:rFonts w:hint="eastAsia" w:ascii="宋体" w:hAnsi="宋体"/>
                <w:bCs/>
                <w:color w:val="000000"/>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ind w:firstLine="0" w:firstLineChars="0"/>
              <w:jc w:val="center"/>
              <w:rPr>
                <w:bCs/>
                <w:sz w:val="24"/>
              </w:rPr>
            </w:pPr>
            <w:r>
              <w:rPr>
                <w:rFonts w:hint="eastAsia"/>
                <w:bCs/>
                <w:sz w:val="24"/>
              </w:rPr>
              <w:t>3</w:t>
            </w:r>
          </w:p>
        </w:tc>
        <w:tc>
          <w:tcPr>
            <w:tcW w:w="2258" w:type="dxa"/>
            <w:vAlign w:val="center"/>
          </w:tcPr>
          <w:p>
            <w:pPr>
              <w:ind w:firstLine="0" w:firstLineChars="0"/>
              <w:jc w:val="center"/>
              <w:rPr>
                <w:bCs/>
                <w:sz w:val="24"/>
              </w:rPr>
            </w:pPr>
            <w:r>
              <w:rPr>
                <w:rFonts w:hint="eastAsia" w:ascii="宋体" w:hAnsi="宋体"/>
                <w:bCs/>
                <w:color w:val="000000"/>
                <w:sz w:val="24"/>
              </w:rPr>
              <w:t>朱村客货运一体站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4</w:t>
            </w:r>
          </w:p>
        </w:tc>
        <w:tc>
          <w:tcPr>
            <w:tcW w:w="2258" w:type="dxa"/>
            <w:vAlign w:val="center"/>
          </w:tcPr>
          <w:p>
            <w:pPr>
              <w:ind w:firstLine="0" w:firstLineChars="0"/>
              <w:jc w:val="center"/>
              <w:rPr>
                <w:bCs/>
                <w:sz w:val="24"/>
              </w:rPr>
            </w:pPr>
            <w:r>
              <w:rPr>
                <w:rFonts w:hint="eastAsia" w:ascii="宋体" w:hAnsi="宋体"/>
                <w:bCs/>
                <w:color w:val="000000"/>
                <w:sz w:val="24"/>
              </w:rPr>
              <w:t>大源客货运一体站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占地1500㎡、建筑500㎡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5</w:t>
            </w:r>
          </w:p>
        </w:tc>
        <w:tc>
          <w:tcPr>
            <w:tcW w:w="2258" w:type="dxa"/>
            <w:vAlign w:val="center"/>
          </w:tcPr>
          <w:p>
            <w:pPr>
              <w:ind w:firstLine="0" w:firstLineChars="0"/>
              <w:jc w:val="center"/>
              <w:rPr>
                <w:bCs/>
                <w:sz w:val="24"/>
              </w:rPr>
            </w:pPr>
            <w:r>
              <w:rPr>
                <w:rFonts w:hint="eastAsia" w:ascii="宋体" w:hAnsi="宋体"/>
                <w:bCs/>
                <w:color w:val="000000"/>
                <w:sz w:val="24"/>
              </w:rPr>
              <w:t>双港客货运一体站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6</w:t>
            </w:r>
          </w:p>
        </w:tc>
        <w:tc>
          <w:tcPr>
            <w:tcW w:w="2258" w:type="dxa"/>
            <w:vAlign w:val="center"/>
          </w:tcPr>
          <w:p>
            <w:pPr>
              <w:ind w:firstLine="0" w:firstLineChars="0"/>
              <w:jc w:val="center"/>
              <w:rPr>
                <w:bCs/>
                <w:sz w:val="24"/>
              </w:rPr>
            </w:pPr>
            <w:r>
              <w:rPr>
                <w:rFonts w:hint="eastAsia" w:ascii="宋体" w:hAnsi="宋体"/>
                <w:bCs/>
                <w:sz w:val="24"/>
              </w:rPr>
              <w:t>库北客货运一体站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ind w:firstLine="0" w:firstLineChars="0"/>
              <w:jc w:val="center"/>
              <w:rPr>
                <w:bCs/>
                <w:sz w:val="24"/>
              </w:rPr>
            </w:pPr>
            <w:r>
              <w:rPr>
                <w:rFonts w:hint="eastAsia"/>
                <w:bCs/>
                <w:sz w:val="24"/>
              </w:rPr>
              <w:t>7</w:t>
            </w:r>
          </w:p>
        </w:tc>
        <w:tc>
          <w:tcPr>
            <w:tcW w:w="2258" w:type="dxa"/>
            <w:vAlign w:val="center"/>
          </w:tcPr>
          <w:p>
            <w:pPr>
              <w:ind w:firstLine="0" w:firstLineChars="0"/>
              <w:jc w:val="center"/>
              <w:rPr>
                <w:bCs/>
                <w:sz w:val="24"/>
              </w:rPr>
            </w:pPr>
            <w:r>
              <w:rPr>
                <w:rFonts w:hint="eastAsia" w:ascii="宋体" w:hAnsi="宋体"/>
                <w:bCs/>
                <w:sz w:val="24"/>
              </w:rPr>
              <w:t>梓坊客货运一体站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sz w:val="24"/>
              </w:rPr>
              <w:t>占地1200㎡、建筑500㎡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8</w:t>
            </w:r>
          </w:p>
        </w:tc>
        <w:tc>
          <w:tcPr>
            <w:tcW w:w="2258" w:type="dxa"/>
            <w:vAlign w:val="center"/>
          </w:tcPr>
          <w:p>
            <w:pPr>
              <w:ind w:firstLine="0" w:firstLineChars="0"/>
              <w:jc w:val="center"/>
              <w:rPr>
                <w:bCs/>
                <w:sz w:val="24"/>
              </w:rPr>
            </w:pPr>
            <w:r>
              <w:rPr>
                <w:rFonts w:hint="eastAsia" w:ascii="宋体" w:hAnsi="宋体"/>
                <w:bCs/>
                <w:color w:val="000000"/>
                <w:sz w:val="24"/>
              </w:rPr>
              <w:t>麻垟客货运一体站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9</w:t>
            </w:r>
          </w:p>
        </w:tc>
        <w:tc>
          <w:tcPr>
            <w:tcW w:w="2258" w:type="dxa"/>
            <w:vAlign w:val="center"/>
          </w:tcPr>
          <w:p>
            <w:pPr>
              <w:ind w:firstLine="0" w:firstLineChars="0"/>
              <w:jc w:val="center"/>
              <w:rPr>
                <w:bCs/>
                <w:sz w:val="24"/>
              </w:rPr>
            </w:pPr>
            <w:r>
              <w:rPr>
                <w:rFonts w:hint="eastAsia" w:ascii="宋体" w:hAnsi="宋体"/>
                <w:bCs/>
                <w:color w:val="000000"/>
                <w:sz w:val="24"/>
              </w:rPr>
              <w:t>局村客货运一体站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bCs/>
                <w:sz w:val="24"/>
              </w:rPr>
              <w:t>10</w:t>
            </w:r>
          </w:p>
        </w:tc>
        <w:tc>
          <w:tcPr>
            <w:tcW w:w="2258" w:type="dxa"/>
            <w:vAlign w:val="center"/>
          </w:tcPr>
          <w:p>
            <w:pPr>
              <w:ind w:firstLine="0" w:firstLineChars="0"/>
              <w:jc w:val="center"/>
              <w:rPr>
                <w:bCs/>
                <w:sz w:val="24"/>
              </w:rPr>
            </w:pPr>
            <w:r>
              <w:rPr>
                <w:rFonts w:hint="eastAsia" w:ascii="宋体" w:hAnsi="宋体"/>
                <w:bCs/>
                <w:color w:val="000000"/>
                <w:sz w:val="24"/>
              </w:rPr>
              <w:t>金村客货运一体站</w:t>
            </w:r>
          </w:p>
        </w:tc>
        <w:tc>
          <w:tcPr>
            <w:tcW w:w="1145" w:type="dxa"/>
            <w:vAlign w:val="center"/>
          </w:tcPr>
          <w:p>
            <w:pPr>
              <w:ind w:firstLine="0" w:firstLineChars="0"/>
              <w:jc w:val="center"/>
              <w:rPr>
                <w:bCs/>
                <w:sz w:val="24"/>
              </w:rPr>
            </w:pPr>
            <w:r>
              <w:rPr>
                <w:rFonts w:hint="eastAsia" w:ascii="宋体" w:hAnsi="宋体"/>
                <w:bCs/>
                <w:color w:val="000000"/>
                <w:sz w:val="24"/>
              </w:rPr>
              <w:t>200</w:t>
            </w:r>
          </w:p>
        </w:tc>
        <w:tc>
          <w:tcPr>
            <w:tcW w:w="3686" w:type="dxa"/>
            <w:vAlign w:val="center"/>
          </w:tcPr>
          <w:p>
            <w:pPr>
              <w:ind w:firstLine="0" w:firstLineChars="0"/>
              <w:jc w:val="center"/>
              <w:rPr>
                <w:bCs/>
                <w:sz w:val="24"/>
              </w:rPr>
            </w:pPr>
            <w:r>
              <w:rPr>
                <w:rFonts w:hint="eastAsia" w:ascii="宋体" w:hAnsi="宋体"/>
                <w:bCs/>
                <w:color w:val="000000"/>
                <w:sz w:val="24"/>
              </w:rPr>
              <w:t>占地1200㎡、建筑300㎡</w:t>
            </w:r>
          </w:p>
        </w:tc>
        <w:tc>
          <w:tcPr>
            <w:tcW w:w="1417" w:type="dxa"/>
            <w:vAlign w:val="center"/>
          </w:tcPr>
          <w:p>
            <w:pPr>
              <w:ind w:firstLine="0" w:firstLineChars="0"/>
              <w:jc w:val="center"/>
              <w:rPr>
                <w:bCs/>
                <w:sz w:val="24"/>
              </w:rPr>
            </w:pPr>
            <w:r>
              <w:rPr>
                <w:rFonts w:hint="eastAsia" w:ascii="宋体" w:hAnsi="宋体"/>
                <w:bCs/>
                <w:color w:val="00000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ind w:firstLine="0" w:firstLineChars="0"/>
              <w:jc w:val="center"/>
              <w:rPr>
                <w:bCs/>
                <w:sz w:val="24"/>
              </w:rPr>
            </w:pPr>
            <w:r>
              <w:rPr>
                <w:rFonts w:hint="eastAsia" w:ascii="宋体" w:hAnsi="宋体"/>
                <w:bCs/>
                <w:color w:val="000000"/>
                <w:sz w:val="24"/>
              </w:rPr>
              <w:t>11</w:t>
            </w:r>
          </w:p>
        </w:tc>
        <w:tc>
          <w:tcPr>
            <w:tcW w:w="2258" w:type="dxa"/>
            <w:vAlign w:val="center"/>
          </w:tcPr>
          <w:p>
            <w:pPr>
              <w:ind w:firstLine="0" w:firstLineChars="0"/>
              <w:jc w:val="center"/>
              <w:rPr>
                <w:bCs/>
                <w:sz w:val="24"/>
              </w:rPr>
            </w:pPr>
            <w:r>
              <w:rPr>
                <w:rFonts w:hint="eastAsia" w:ascii="宋体" w:hAnsi="宋体"/>
                <w:bCs/>
                <w:color w:val="000000"/>
                <w:sz w:val="24"/>
              </w:rPr>
              <w:t>公交车候车亭</w:t>
            </w:r>
          </w:p>
        </w:tc>
        <w:tc>
          <w:tcPr>
            <w:tcW w:w="1145" w:type="dxa"/>
            <w:vAlign w:val="center"/>
          </w:tcPr>
          <w:p>
            <w:pPr>
              <w:ind w:firstLine="0" w:firstLineChars="0"/>
              <w:jc w:val="center"/>
              <w:rPr>
                <w:bCs/>
                <w:sz w:val="24"/>
              </w:rPr>
            </w:pPr>
            <w:r>
              <w:rPr>
                <w:rFonts w:hint="eastAsia" w:ascii="宋体" w:hAnsi="宋体"/>
                <w:bCs/>
                <w:color w:val="000000"/>
                <w:sz w:val="24"/>
              </w:rPr>
              <w:t>500</w:t>
            </w:r>
          </w:p>
        </w:tc>
        <w:tc>
          <w:tcPr>
            <w:tcW w:w="3686" w:type="dxa"/>
            <w:vAlign w:val="center"/>
          </w:tcPr>
          <w:p>
            <w:pPr>
              <w:ind w:firstLine="0" w:firstLineChars="0"/>
              <w:jc w:val="center"/>
              <w:rPr>
                <w:bCs/>
                <w:sz w:val="24"/>
              </w:rPr>
            </w:pPr>
            <w:r>
              <w:rPr>
                <w:rFonts w:hint="eastAsia" w:ascii="宋体" w:hAnsi="宋体"/>
                <w:bCs/>
                <w:color w:val="000000"/>
                <w:sz w:val="24"/>
              </w:rPr>
              <w:t>100个</w:t>
            </w:r>
          </w:p>
        </w:tc>
        <w:tc>
          <w:tcPr>
            <w:tcW w:w="1417" w:type="dxa"/>
            <w:vAlign w:val="center"/>
          </w:tcPr>
          <w:p>
            <w:pPr>
              <w:ind w:firstLine="0" w:firstLineChars="0"/>
              <w:jc w:val="center"/>
              <w:rPr>
                <w:bCs/>
                <w:sz w:val="24"/>
              </w:rPr>
            </w:pPr>
            <w:r>
              <w:rPr>
                <w:rFonts w:hint="eastAsia" w:ascii="宋体" w:hAnsi="宋体"/>
                <w:bCs/>
                <w:color w:val="000000"/>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ascii="宋体" w:hAnsi="宋体"/>
                <w:bCs/>
                <w:color w:val="000000"/>
                <w:sz w:val="24"/>
              </w:rPr>
              <w:t>12</w:t>
            </w:r>
          </w:p>
        </w:tc>
        <w:tc>
          <w:tcPr>
            <w:tcW w:w="2258" w:type="dxa"/>
            <w:vAlign w:val="center"/>
          </w:tcPr>
          <w:p>
            <w:pPr>
              <w:ind w:firstLine="0" w:firstLineChars="0"/>
              <w:jc w:val="center"/>
              <w:rPr>
                <w:bCs/>
                <w:sz w:val="24"/>
              </w:rPr>
            </w:pPr>
            <w:r>
              <w:rPr>
                <w:rFonts w:hint="eastAsia" w:ascii="宋体" w:hAnsi="宋体"/>
                <w:bCs/>
                <w:color w:val="000000"/>
                <w:sz w:val="24"/>
              </w:rPr>
              <w:t>农村城乡停靠站</w:t>
            </w:r>
          </w:p>
        </w:tc>
        <w:tc>
          <w:tcPr>
            <w:tcW w:w="1145" w:type="dxa"/>
            <w:vAlign w:val="center"/>
          </w:tcPr>
          <w:p>
            <w:pPr>
              <w:ind w:firstLine="0" w:firstLineChars="0"/>
              <w:jc w:val="center"/>
              <w:rPr>
                <w:bCs/>
                <w:sz w:val="24"/>
              </w:rPr>
            </w:pPr>
            <w:r>
              <w:rPr>
                <w:rFonts w:hint="eastAsia" w:ascii="宋体" w:hAnsi="宋体"/>
                <w:bCs/>
                <w:color w:val="000000"/>
                <w:sz w:val="24"/>
              </w:rPr>
              <w:t>500</w:t>
            </w:r>
          </w:p>
        </w:tc>
        <w:tc>
          <w:tcPr>
            <w:tcW w:w="3686" w:type="dxa"/>
            <w:vAlign w:val="center"/>
          </w:tcPr>
          <w:p>
            <w:pPr>
              <w:ind w:firstLine="0" w:firstLineChars="0"/>
              <w:jc w:val="center"/>
              <w:rPr>
                <w:bCs/>
                <w:sz w:val="24"/>
              </w:rPr>
            </w:pPr>
            <w:r>
              <w:rPr>
                <w:rFonts w:hint="eastAsia" w:ascii="宋体" w:hAnsi="宋体"/>
                <w:bCs/>
                <w:color w:val="000000"/>
                <w:sz w:val="24"/>
              </w:rPr>
              <w:t>100个</w:t>
            </w:r>
          </w:p>
        </w:tc>
        <w:tc>
          <w:tcPr>
            <w:tcW w:w="1417" w:type="dxa"/>
            <w:vAlign w:val="center"/>
          </w:tcPr>
          <w:p>
            <w:pPr>
              <w:ind w:firstLine="0" w:firstLineChars="0"/>
              <w:jc w:val="center"/>
              <w:rPr>
                <w:bCs/>
                <w:sz w:val="24"/>
              </w:rPr>
            </w:pPr>
            <w:r>
              <w:rPr>
                <w:rFonts w:hint="eastAsia" w:ascii="宋体" w:hAnsi="宋体"/>
                <w:bCs/>
                <w:color w:val="000000"/>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ascii="宋体" w:hAnsi="宋体"/>
                <w:bCs/>
                <w:color w:val="000000"/>
                <w:sz w:val="24"/>
              </w:rPr>
              <w:t>13</w:t>
            </w:r>
          </w:p>
        </w:tc>
        <w:tc>
          <w:tcPr>
            <w:tcW w:w="2258" w:type="dxa"/>
            <w:vAlign w:val="center"/>
          </w:tcPr>
          <w:p>
            <w:pPr>
              <w:ind w:firstLine="0" w:firstLineChars="0"/>
              <w:jc w:val="center"/>
              <w:rPr>
                <w:bCs/>
                <w:sz w:val="24"/>
              </w:rPr>
            </w:pPr>
            <w:r>
              <w:rPr>
                <w:rFonts w:hint="eastAsia" w:ascii="宋体" w:hAnsi="宋体"/>
                <w:bCs/>
                <w:color w:val="000000"/>
                <w:sz w:val="24"/>
              </w:rPr>
              <w:t>综合交通信息中心</w:t>
            </w:r>
          </w:p>
        </w:tc>
        <w:tc>
          <w:tcPr>
            <w:tcW w:w="1145" w:type="dxa"/>
            <w:vAlign w:val="center"/>
          </w:tcPr>
          <w:p>
            <w:pPr>
              <w:ind w:firstLine="0" w:firstLineChars="0"/>
              <w:jc w:val="center"/>
              <w:rPr>
                <w:bCs/>
                <w:sz w:val="24"/>
              </w:rPr>
            </w:pPr>
            <w:r>
              <w:rPr>
                <w:rFonts w:hint="eastAsia" w:ascii="宋体" w:hAnsi="宋体"/>
                <w:bCs/>
                <w:color w:val="000000"/>
                <w:sz w:val="24"/>
              </w:rPr>
              <w:t>7000</w:t>
            </w:r>
          </w:p>
        </w:tc>
        <w:tc>
          <w:tcPr>
            <w:tcW w:w="3686" w:type="dxa"/>
            <w:vAlign w:val="center"/>
          </w:tcPr>
          <w:p>
            <w:pPr>
              <w:ind w:firstLine="0" w:firstLineChars="0"/>
              <w:jc w:val="center"/>
              <w:rPr>
                <w:bCs/>
                <w:sz w:val="24"/>
              </w:rPr>
            </w:pPr>
            <w:r>
              <w:rPr>
                <w:rFonts w:hint="eastAsia" w:ascii="宋体" w:hAnsi="宋体"/>
                <w:bCs/>
                <w:color w:val="000000"/>
                <w:sz w:val="24"/>
              </w:rPr>
              <w:t>用地面积14.47亩m，建筑地上面积10000㎡、地下面积7000㎡</w:t>
            </w:r>
          </w:p>
        </w:tc>
        <w:tc>
          <w:tcPr>
            <w:tcW w:w="1417" w:type="dxa"/>
            <w:vAlign w:val="center"/>
          </w:tcPr>
          <w:p>
            <w:pPr>
              <w:ind w:firstLine="0" w:firstLineChars="0"/>
              <w:jc w:val="center"/>
              <w:rPr>
                <w:bCs/>
                <w:sz w:val="24"/>
              </w:rPr>
            </w:pPr>
            <w:r>
              <w:rPr>
                <w:rFonts w:hint="eastAsia" w:ascii="宋体" w:hAnsi="宋体"/>
                <w:bCs/>
                <w:color w:val="000000"/>
                <w:sz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p>
        </w:tc>
        <w:tc>
          <w:tcPr>
            <w:tcW w:w="2258" w:type="dxa"/>
            <w:vAlign w:val="center"/>
          </w:tcPr>
          <w:p>
            <w:pPr>
              <w:ind w:firstLine="0" w:firstLineChars="0"/>
              <w:jc w:val="center"/>
              <w:rPr>
                <w:bCs/>
                <w:sz w:val="24"/>
              </w:rPr>
            </w:pPr>
            <w:r>
              <w:rPr>
                <w:rFonts w:hint="eastAsia" w:ascii="宋体" w:hAnsi="宋体"/>
                <w:b/>
                <w:bCs w:val="0"/>
                <w:color w:val="000000"/>
                <w:sz w:val="24"/>
              </w:rPr>
              <w:t>实施类合计</w:t>
            </w:r>
          </w:p>
        </w:tc>
        <w:tc>
          <w:tcPr>
            <w:tcW w:w="1145" w:type="dxa"/>
            <w:vAlign w:val="center"/>
          </w:tcPr>
          <w:p>
            <w:pPr>
              <w:ind w:firstLine="0" w:firstLineChars="0"/>
              <w:jc w:val="center"/>
              <w:rPr>
                <w:bCs/>
                <w:sz w:val="24"/>
              </w:rPr>
            </w:pPr>
            <w:r>
              <w:rPr>
                <w:rFonts w:hint="eastAsia" w:ascii="宋体" w:hAnsi="宋体"/>
                <w:b/>
                <w:bCs w:val="0"/>
                <w:color w:val="000000"/>
                <w:sz w:val="24"/>
              </w:rPr>
              <w:t>10200</w:t>
            </w:r>
          </w:p>
        </w:tc>
        <w:tc>
          <w:tcPr>
            <w:tcW w:w="3686" w:type="dxa"/>
            <w:vAlign w:val="center"/>
          </w:tcPr>
          <w:p>
            <w:pPr>
              <w:ind w:firstLine="0" w:firstLineChars="0"/>
              <w:jc w:val="center"/>
              <w:rPr>
                <w:bCs/>
                <w:sz w:val="24"/>
              </w:rPr>
            </w:pPr>
          </w:p>
        </w:tc>
        <w:tc>
          <w:tcPr>
            <w:tcW w:w="1417" w:type="dxa"/>
            <w:vAlign w:val="center"/>
          </w:tcPr>
          <w:p>
            <w:pPr>
              <w:ind w:firstLine="0" w:firstLineChars="0"/>
              <w:jc w:val="center"/>
              <w:rPr>
                <w:bCs/>
                <w:sz w:val="24"/>
              </w:rPr>
            </w:pPr>
            <w:r>
              <w:rPr>
                <w:rFonts w:hint="eastAsia" w:ascii="宋体" w:hAnsi="宋体"/>
                <w:b/>
                <w:bCs w:val="0"/>
                <w:color w:val="000000"/>
                <w:sz w:val="24"/>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ind w:firstLine="0" w:firstLineChars="0"/>
              <w:jc w:val="center"/>
              <w:rPr>
                <w:bCs/>
                <w:sz w:val="24"/>
              </w:rPr>
            </w:pPr>
            <w:r>
              <w:rPr>
                <w:rFonts w:hint="eastAsia" w:ascii="宋体" w:hAnsi="宋体"/>
                <w:bCs/>
                <w:color w:val="000000"/>
                <w:sz w:val="24"/>
              </w:rPr>
              <w:t>1</w:t>
            </w:r>
          </w:p>
        </w:tc>
        <w:tc>
          <w:tcPr>
            <w:tcW w:w="2258" w:type="dxa"/>
            <w:vAlign w:val="center"/>
          </w:tcPr>
          <w:p>
            <w:pPr>
              <w:ind w:firstLine="0" w:firstLineChars="0"/>
              <w:jc w:val="center"/>
              <w:rPr>
                <w:bCs/>
                <w:sz w:val="24"/>
              </w:rPr>
            </w:pPr>
            <w:r>
              <w:rPr>
                <w:rFonts w:hint="eastAsia" w:ascii="宋体" w:hAnsi="宋体"/>
                <w:bCs/>
                <w:sz w:val="24"/>
              </w:rPr>
              <w:t>客运中心</w:t>
            </w:r>
          </w:p>
        </w:tc>
        <w:tc>
          <w:tcPr>
            <w:tcW w:w="1145" w:type="dxa"/>
            <w:vAlign w:val="center"/>
          </w:tcPr>
          <w:p>
            <w:pPr>
              <w:ind w:firstLine="0" w:firstLineChars="0"/>
              <w:jc w:val="center"/>
              <w:rPr>
                <w:bCs/>
                <w:sz w:val="24"/>
              </w:rPr>
            </w:pPr>
            <w:r>
              <w:rPr>
                <w:rFonts w:hint="eastAsia" w:ascii="宋体" w:hAnsi="宋体"/>
                <w:bCs/>
                <w:sz w:val="24"/>
              </w:rPr>
              <w:t>10000</w:t>
            </w:r>
          </w:p>
        </w:tc>
        <w:tc>
          <w:tcPr>
            <w:tcW w:w="3686" w:type="dxa"/>
            <w:vAlign w:val="center"/>
          </w:tcPr>
          <w:p>
            <w:pPr>
              <w:ind w:firstLine="0" w:firstLineChars="0"/>
              <w:jc w:val="center"/>
              <w:rPr>
                <w:bCs/>
                <w:sz w:val="24"/>
              </w:rPr>
            </w:pPr>
            <w:r>
              <w:rPr>
                <w:rFonts w:hint="eastAsia" w:ascii="宋体" w:hAnsi="宋体"/>
                <w:bCs/>
                <w:sz w:val="24"/>
              </w:rPr>
              <w:t>占地26169㎡、建筑15000㎡</w:t>
            </w:r>
          </w:p>
        </w:tc>
        <w:tc>
          <w:tcPr>
            <w:tcW w:w="1417" w:type="dxa"/>
            <w:vAlign w:val="center"/>
          </w:tcPr>
          <w:p>
            <w:pPr>
              <w:ind w:firstLine="0" w:firstLineChars="0"/>
              <w:jc w:val="center"/>
              <w:rPr>
                <w:bCs/>
                <w:sz w:val="24"/>
              </w:rPr>
            </w:pPr>
            <w:r>
              <w:rPr>
                <w:rFonts w:hint="eastAsia" w:ascii="宋体" w:hAnsi="宋体"/>
                <w:bCs/>
                <w:sz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ascii="宋体" w:hAnsi="宋体"/>
                <w:bCs/>
                <w:color w:val="000000"/>
                <w:sz w:val="24"/>
              </w:rPr>
              <w:t>2</w:t>
            </w:r>
          </w:p>
        </w:tc>
        <w:tc>
          <w:tcPr>
            <w:tcW w:w="2258" w:type="dxa"/>
            <w:vAlign w:val="center"/>
          </w:tcPr>
          <w:p>
            <w:pPr>
              <w:ind w:firstLine="0" w:firstLineChars="0"/>
              <w:jc w:val="center"/>
              <w:rPr>
                <w:bCs/>
                <w:sz w:val="24"/>
              </w:rPr>
            </w:pPr>
            <w:r>
              <w:rPr>
                <w:rFonts w:hint="eastAsia" w:ascii="宋体" w:hAnsi="宋体"/>
                <w:bCs/>
                <w:sz w:val="24"/>
              </w:rPr>
              <w:t>云和物流基地</w:t>
            </w:r>
          </w:p>
        </w:tc>
        <w:tc>
          <w:tcPr>
            <w:tcW w:w="1145" w:type="dxa"/>
            <w:vAlign w:val="center"/>
          </w:tcPr>
          <w:p>
            <w:pPr>
              <w:ind w:firstLine="0" w:firstLineChars="0"/>
              <w:jc w:val="center"/>
              <w:rPr>
                <w:bCs/>
                <w:sz w:val="24"/>
              </w:rPr>
            </w:pPr>
            <w:r>
              <w:rPr>
                <w:rFonts w:hint="eastAsia" w:ascii="宋体" w:hAnsi="宋体"/>
                <w:bCs/>
                <w:sz w:val="24"/>
              </w:rPr>
              <w:t>2000</w:t>
            </w:r>
          </w:p>
        </w:tc>
        <w:tc>
          <w:tcPr>
            <w:tcW w:w="3686" w:type="dxa"/>
            <w:vAlign w:val="center"/>
          </w:tcPr>
          <w:p>
            <w:pPr>
              <w:ind w:firstLine="0" w:firstLineChars="0"/>
              <w:jc w:val="center"/>
              <w:rPr>
                <w:bCs/>
                <w:sz w:val="24"/>
              </w:rPr>
            </w:pPr>
            <w:r>
              <w:rPr>
                <w:rFonts w:hint="eastAsia" w:ascii="宋体" w:hAnsi="宋体"/>
                <w:bCs/>
                <w:sz w:val="24"/>
              </w:rPr>
              <w:t>占地20000㎡、建筑15000㎡</w:t>
            </w:r>
          </w:p>
        </w:tc>
        <w:tc>
          <w:tcPr>
            <w:tcW w:w="1417" w:type="dxa"/>
            <w:vAlign w:val="center"/>
          </w:tcPr>
          <w:p>
            <w:pPr>
              <w:ind w:firstLine="0" w:firstLineChars="0"/>
              <w:jc w:val="center"/>
              <w:rPr>
                <w:bCs/>
                <w:sz w:val="24"/>
              </w:rPr>
            </w:pPr>
            <w:r>
              <w:rPr>
                <w:rFonts w:hint="eastAsia" w:ascii="宋体" w:hAnsi="宋体"/>
                <w:bCs/>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p>
        </w:tc>
        <w:tc>
          <w:tcPr>
            <w:tcW w:w="2258" w:type="dxa"/>
            <w:vAlign w:val="center"/>
          </w:tcPr>
          <w:p>
            <w:pPr>
              <w:ind w:firstLine="0" w:firstLineChars="0"/>
              <w:jc w:val="center"/>
              <w:rPr>
                <w:bCs/>
                <w:sz w:val="24"/>
              </w:rPr>
            </w:pPr>
            <w:r>
              <w:rPr>
                <w:rFonts w:hint="eastAsia" w:ascii="宋体" w:hAnsi="宋体"/>
                <w:b/>
                <w:bCs w:val="0"/>
                <w:sz w:val="24"/>
              </w:rPr>
              <w:t>预备类合计</w:t>
            </w:r>
          </w:p>
        </w:tc>
        <w:tc>
          <w:tcPr>
            <w:tcW w:w="1145" w:type="dxa"/>
            <w:vAlign w:val="center"/>
          </w:tcPr>
          <w:p>
            <w:pPr>
              <w:ind w:firstLine="0" w:firstLineChars="0"/>
              <w:jc w:val="center"/>
              <w:rPr>
                <w:bCs/>
                <w:sz w:val="24"/>
              </w:rPr>
            </w:pPr>
            <w:r>
              <w:rPr>
                <w:rFonts w:hint="eastAsia" w:ascii="宋体" w:hAnsi="宋体"/>
                <w:b/>
                <w:bCs w:val="0"/>
                <w:sz w:val="24"/>
              </w:rPr>
              <w:t>12000</w:t>
            </w:r>
          </w:p>
        </w:tc>
        <w:tc>
          <w:tcPr>
            <w:tcW w:w="3686" w:type="dxa"/>
            <w:vAlign w:val="center"/>
          </w:tcPr>
          <w:p>
            <w:pPr>
              <w:ind w:firstLine="0" w:firstLineChars="0"/>
              <w:jc w:val="center"/>
              <w:rPr>
                <w:bCs/>
                <w:sz w:val="24"/>
              </w:rPr>
            </w:pPr>
          </w:p>
        </w:tc>
        <w:tc>
          <w:tcPr>
            <w:tcW w:w="1417" w:type="dxa"/>
            <w:vAlign w:val="center"/>
          </w:tcPr>
          <w:p>
            <w:pPr>
              <w:ind w:firstLine="0" w:firstLineChars="0"/>
              <w:jc w:val="center"/>
              <w:rPr>
                <w:bCs/>
                <w:sz w:val="24"/>
              </w:rPr>
            </w:pPr>
            <w:r>
              <w:rPr>
                <w:rFonts w:hint="eastAsia" w:ascii="宋体" w:hAnsi="宋体"/>
                <w:b/>
                <w:bCs w:val="0"/>
                <w:sz w:val="24"/>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bCs/>
                <w:sz w:val="24"/>
              </w:rPr>
            </w:pPr>
            <w:r>
              <w:rPr>
                <w:rFonts w:hint="eastAsia" w:ascii="宋体" w:hAnsi="宋体"/>
                <w:bCs/>
                <w:color w:val="000000"/>
                <w:sz w:val="24"/>
              </w:rPr>
              <w:t>1</w:t>
            </w:r>
          </w:p>
        </w:tc>
        <w:tc>
          <w:tcPr>
            <w:tcW w:w="2258" w:type="dxa"/>
            <w:vAlign w:val="center"/>
          </w:tcPr>
          <w:p>
            <w:pPr>
              <w:ind w:firstLine="0" w:firstLineChars="0"/>
              <w:jc w:val="center"/>
              <w:rPr>
                <w:bCs/>
                <w:sz w:val="24"/>
              </w:rPr>
            </w:pPr>
            <w:r>
              <w:rPr>
                <w:rFonts w:hint="eastAsia" w:ascii="宋体" w:hAnsi="宋体"/>
                <w:bCs/>
                <w:color w:val="000000"/>
                <w:sz w:val="24"/>
              </w:rPr>
              <w:t>汽车业服务园</w:t>
            </w:r>
          </w:p>
        </w:tc>
        <w:tc>
          <w:tcPr>
            <w:tcW w:w="1145" w:type="dxa"/>
            <w:vAlign w:val="center"/>
          </w:tcPr>
          <w:p>
            <w:pPr>
              <w:ind w:firstLine="0" w:firstLineChars="0"/>
              <w:jc w:val="center"/>
              <w:rPr>
                <w:bCs/>
                <w:sz w:val="24"/>
              </w:rPr>
            </w:pPr>
            <w:r>
              <w:rPr>
                <w:rFonts w:hint="eastAsia" w:ascii="宋体" w:hAnsi="宋体"/>
                <w:bCs/>
                <w:color w:val="000000"/>
                <w:sz w:val="24"/>
              </w:rPr>
              <w:t>6900</w:t>
            </w:r>
          </w:p>
        </w:tc>
        <w:tc>
          <w:tcPr>
            <w:tcW w:w="3686" w:type="dxa"/>
            <w:vAlign w:val="center"/>
          </w:tcPr>
          <w:p>
            <w:pPr>
              <w:ind w:firstLine="0" w:firstLineChars="0"/>
              <w:jc w:val="center"/>
              <w:rPr>
                <w:bCs/>
                <w:sz w:val="24"/>
              </w:rPr>
            </w:pPr>
            <w:r>
              <w:rPr>
                <w:rFonts w:hint="eastAsia" w:ascii="宋体" w:hAnsi="宋体"/>
                <w:bCs/>
                <w:color w:val="000000"/>
                <w:sz w:val="24"/>
              </w:rPr>
              <w:t>占地20000㎡、建筑15000㎡</w:t>
            </w:r>
          </w:p>
        </w:tc>
        <w:tc>
          <w:tcPr>
            <w:tcW w:w="1417" w:type="dxa"/>
            <w:vAlign w:val="center"/>
          </w:tcPr>
          <w:p>
            <w:pPr>
              <w:ind w:firstLine="0" w:firstLineChars="0"/>
              <w:jc w:val="center"/>
              <w:rPr>
                <w:bCs/>
                <w:sz w:val="24"/>
              </w:rPr>
            </w:pPr>
            <w:r>
              <w:rPr>
                <w:rFonts w:hint="eastAsia" w:ascii="宋体" w:hAnsi="宋体"/>
                <w:bCs/>
                <w:color w:val="000000"/>
                <w:sz w:val="24"/>
              </w:rPr>
              <w:t>6900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pPr>
              <w:ind w:firstLine="0" w:firstLineChars="0"/>
              <w:jc w:val="center"/>
              <w:rPr>
                <w:bCs/>
                <w:sz w:val="24"/>
              </w:rPr>
            </w:pPr>
            <w:r>
              <w:rPr>
                <w:rFonts w:hint="eastAsia" w:ascii="宋体" w:hAnsi="宋体"/>
                <w:bCs/>
                <w:color w:val="000000"/>
                <w:sz w:val="24"/>
              </w:rPr>
              <w:t>2</w:t>
            </w:r>
          </w:p>
        </w:tc>
        <w:tc>
          <w:tcPr>
            <w:tcW w:w="2258" w:type="dxa"/>
            <w:vAlign w:val="center"/>
          </w:tcPr>
          <w:p>
            <w:pPr>
              <w:ind w:firstLine="0" w:firstLineChars="0"/>
              <w:jc w:val="center"/>
              <w:rPr>
                <w:bCs/>
                <w:sz w:val="24"/>
              </w:rPr>
            </w:pPr>
            <w:r>
              <w:rPr>
                <w:rFonts w:hint="eastAsia" w:ascii="宋体" w:hAnsi="宋体"/>
                <w:bCs/>
                <w:sz w:val="24"/>
              </w:rPr>
              <w:t>城南公交首末站</w:t>
            </w:r>
          </w:p>
        </w:tc>
        <w:tc>
          <w:tcPr>
            <w:tcW w:w="1145" w:type="dxa"/>
            <w:vAlign w:val="center"/>
          </w:tcPr>
          <w:p>
            <w:pPr>
              <w:ind w:firstLine="0" w:firstLineChars="0"/>
              <w:jc w:val="center"/>
              <w:rPr>
                <w:bCs/>
                <w:sz w:val="24"/>
              </w:rPr>
            </w:pPr>
            <w:r>
              <w:rPr>
                <w:rFonts w:hint="eastAsia" w:ascii="宋体" w:hAnsi="宋体"/>
                <w:bCs/>
                <w:sz w:val="24"/>
              </w:rPr>
              <w:t>3000</w:t>
            </w:r>
          </w:p>
        </w:tc>
        <w:tc>
          <w:tcPr>
            <w:tcW w:w="3686" w:type="dxa"/>
            <w:vAlign w:val="center"/>
          </w:tcPr>
          <w:p>
            <w:pPr>
              <w:ind w:firstLine="0" w:firstLineChars="0"/>
              <w:jc w:val="center"/>
              <w:rPr>
                <w:bCs/>
                <w:sz w:val="24"/>
              </w:rPr>
            </w:pPr>
            <w:r>
              <w:rPr>
                <w:rFonts w:hint="eastAsia" w:ascii="宋体" w:hAnsi="宋体"/>
                <w:bCs/>
                <w:color w:val="000000"/>
                <w:sz w:val="24"/>
              </w:rPr>
              <w:t>占地10000㎡、建筑5000㎡</w:t>
            </w:r>
          </w:p>
        </w:tc>
        <w:tc>
          <w:tcPr>
            <w:tcW w:w="1417" w:type="dxa"/>
            <w:vAlign w:val="center"/>
          </w:tcPr>
          <w:p>
            <w:pPr>
              <w:ind w:firstLine="0" w:firstLineChars="0"/>
              <w:jc w:val="center"/>
              <w:rPr>
                <w:bCs/>
                <w:sz w:val="24"/>
              </w:rPr>
            </w:pPr>
            <w:r>
              <w:rPr>
                <w:rFonts w:hint="eastAsia" w:ascii="宋体" w:hAnsi="宋体"/>
                <w:bCs/>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ind w:firstLine="0" w:firstLineChars="0"/>
              <w:jc w:val="center"/>
              <w:rPr>
                <w:rFonts w:ascii="宋体" w:hAnsi="宋体"/>
                <w:bCs/>
                <w:color w:val="000000"/>
                <w:sz w:val="24"/>
              </w:rPr>
            </w:pPr>
          </w:p>
        </w:tc>
        <w:tc>
          <w:tcPr>
            <w:tcW w:w="2258" w:type="dxa"/>
            <w:vAlign w:val="center"/>
          </w:tcPr>
          <w:p>
            <w:pPr>
              <w:ind w:firstLine="0" w:firstLineChars="0"/>
              <w:jc w:val="center"/>
              <w:rPr>
                <w:rFonts w:ascii="宋体" w:hAnsi="宋体"/>
                <w:b/>
                <w:bCs/>
                <w:sz w:val="24"/>
              </w:rPr>
            </w:pPr>
            <w:r>
              <w:rPr>
                <w:rFonts w:hint="eastAsia" w:ascii="宋体" w:hAnsi="宋体"/>
                <w:b/>
                <w:bCs/>
                <w:sz w:val="24"/>
              </w:rPr>
              <w:t>合计</w:t>
            </w:r>
          </w:p>
        </w:tc>
        <w:tc>
          <w:tcPr>
            <w:tcW w:w="1145" w:type="dxa"/>
            <w:vAlign w:val="center"/>
          </w:tcPr>
          <w:p>
            <w:pPr>
              <w:ind w:firstLine="0" w:firstLineChars="0"/>
              <w:jc w:val="center"/>
              <w:rPr>
                <w:rFonts w:ascii="宋体" w:hAnsi="宋体"/>
                <w:bCs/>
                <w:sz w:val="24"/>
              </w:rPr>
            </w:pPr>
            <w:r>
              <w:rPr>
                <w:rFonts w:hint="eastAsia" w:ascii="宋体" w:hAnsi="宋体"/>
                <w:bCs/>
                <w:sz w:val="24"/>
              </w:rPr>
              <w:t>54300</w:t>
            </w:r>
          </w:p>
        </w:tc>
        <w:tc>
          <w:tcPr>
            <w:tcW w:w="3686" w:type="dxa"/>
            <w:vAlign w:val="center"/>
          </w:tcPr>
          <w:p>
            <w:pPr>
              <w:ind w:firstLine="0" w:firstLineChars="0"/>
              <w:jc w:val="center"/>
              <w:rPr>
                <w:rFonts w:ascii="宋体" w:hAnsi="宋体"/>
                <w:bCs/>
                <w:color w:val="000000"/>
                <w:sz w:val="24"/>
              </w:rPr>
            </w:pPr>
          </w:p>
        </w:tc>
        <w:tc>
          <w:tcPr>
            <w:tcW w:w="1417" w:type="dxa"/>
            <w:vAlign w:val="center"/>
          </w:tcPr>
          <w:p>
            <w:pPr>
              <w:ind w:firstLine="0" w:firstLineChars="0"/>
              <w:jc w:val="center"/>
              <w:rPr>
                <w:rFonts w:ascii="宋体" w:hAnsi="宋体"/>
                <w:bCs/>
                <w:sz w:val="24"/>
              </w:rPr>
            </w:pPr>
            <w:r>
              <w:rPr>
                <w:rFonts w:hint="eastAsia" w:ascii="宋体" w:hAnsi="宋体"/>
                <w:bCs/>
                <w:sz w:val="24"/>
              </w:rPr>
              <w:t>38300</w:t>
            </w:r>
          </w:p>
        </w:tc>
      </w:tr>
    </w:tbl>
    <w:p>
      <w:pPr>
        <w:ind w:firstLine="0" w:firstLineChars="0"/>
      </w:pPr>
    </w:p>
    <w:p>
      <w:pPr>
        <w:ind w:firstLine="0" w:firstLineChars="0"/>
        <w:rPr>
          <w:b/>
        </w:rPr>
      </w:pPr>
      <w:r>
        <w:rPr>
          <w:b/>
        </w:rPr>
        <w:t>——</w:t>
      </w:r>
      <w:r>
        <w:rPr>
          <w:rFonts w:hint="eastAsia"/>
          <w:b/>
        </w:rPr>
        <w:t>运输能力</w:t>
      </w:r>
    </w:p>
    <w:p>
      <w:pPr>
        <w:ind w:firstLine="562"/>
        <w:rPr>
          <w:b/>
        </w:rPr>
      </w:pPr>
      <w:r>
        <w:rPr>
          <w:rFonts w:hint="eastAsia"/>
          <w:b/>
        </w:rPr>
        <w:t>（</w:t>
      </w:r>
      <w:r>
        <w:rPr>
          <w:b/>
        </w:rPr>
        <w:t>1</w:t>
      </w:r>
      <w:r>
        <w:rPr>
          <w:rFonts w:hint="eastAsia"/>
          <w:b/>
        </w:rPr>
        <w:t>）公交分担率</w:t>
      </w:r>
    </w:p>
    <w:p>
      <w:pPr>
        <w:ind w:firstLine="560"/>
      </w:pPr>
      <w:r>
        <w:rPr>
          <w:rFonts w:hint="eastAsia"/>
        </w:rPr>
        <w:t>“十三五”期间，根据省、市治堵办的考核要求，云和县将大力实施公交优先发展战略，提高云和县公交分担率，力争</w:t>
      </w:r>
      <w:r>
        <w:t>2016</w:t>
      </w:r>
      <w:r>
        <w:rPr>
          <w:rFonts w:hint="eastAsia"/>
        </w:rPr>
        <w:t>－</w:t>
      </w:r>
      <w:r>
        <w:t>2020</w:t>
      </w:r>
      <w:r>
        <w:rPr>
          <w:rFonts w:hint="eastAsia"/>
        </w:rPr>
        <w:t>年平均每年公交分担率提升1个百分点。</w:t>
      </w:r>
    </w:p>
    <w:p>
      <w:pPr>
        <w:ind w:firstLine="562"/>
        <w:rPr>
          <w:b/>
        </w:rPr>
      </w:pPr>
      <w:r>
        <w:rPr>
          <w:rFonts w:hint="eastAsia"/>
          <w:b/>
        </w:rPr>
        <w:t>（</w:t>
      </w:r>
      <w:r>
        <w:rPr>
          <w:b/>
        </w:rPr>
        <w:t>2</w:t>
      </w:r>
      <w:r>
        <w:rPr>
          <w:rFonts w:hint="eastAsia"/>
          <w:b/>
        </w:rPr>
        <w:t>）客运量及客运周转量</w:t>
      </w:r>
    </w:p>
    <w:p>
      <w:pPr>
        <w:ind w:firstLine="560"/>
      </w:pPr>
      <w:r>
        <w:rPr>
          <w:rFonts w:hint="eastAsia"/>
        </w:rPr>
        <w:t>截止到</w:t>
      </w:r>
      <w:r>
        <w:t>2020</w:t>
      </w:r>
      <w:r>
        <w:rPr>
          <w:rFonts w:hint="eastAsia"/>
        </w:rPr>
        <w:t>年，云和县将完成客运量281万人，客运周转量达到63169万人百公里。</w:t>
      </w:r>
    </w:p>
    <w:p>
      <w:pPr>
        <w:ind w:leftChars="-152" w:hanging="425" w:hangingChars="152"/>
      </w:pPr>
      <w: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1693545</wp:posOffset>
                </wp:positionV>
                <wp:extent cx="28448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0" name="矩形 78"/>
                <wp:cNvGraphicFramePr/>
                <a:graphic xmlns:a="http://schemas.openxmlformats.org/drawingml/2006/main">
                  <a:graphicData uri="http://schemas.microsoft.com/office/word/2010/wordprocessingShape">
                    <wps:wsp>
                      <wps:cNvSpPr/>
                      <wps:spPr>
                        <a:xfrm>
                          <a:off x="0" y="0"/>
                          <a:ext cx="28448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3“十二五”末期和“十三五”末期客运量变化图（万人）</w:t>
                            </w:r>
                          </w:p>
                        </w:txbxContent>
                      </wps:txbx>
                      <wps:bodyPr anchor="ctr" anchorCtr="false" upright="true"/>
                    </wps:wsp>
                  </a:graphicData>
                </a:graphic>
              </wp:anchor>
            </w:drawing>
          </mc:Choice>
          <mc:Fallback>
            <w:pict>
              <v:rect id="矩形 78" o:spid="_x0000_s1026" o:spt="1" style="position:absolute;left:0pt;margin-left:-20.95pt;margin-top:133.35pt;height:57.15pt;width:224pt;mso-wrap-distance-left:9pt;mso-wrap-distance-right:9pt;z-index:251660288;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D6HZ7bXAAAACwEAAA8AAABkcnMvZG93bnJldi54bWxNjzFvwjAQhfdK/Q/W&#10;VeqCwDaNAg25MFRqdygLm0muScA+R7GB9N/Xndrx9D699125nZwVNxpD7xlBLxQI4to3PbcIh8/3&#10;+RpEiIYbYz0TwjcF2FaPD6UpGn/nHd32sRWphENhELoYh0LKUHfkTFj4gThlX350JqZzbGUzmnsq&#10;d1YulcqlMz2nhc4M9NZRfdlfHUJ2rC1fjnEmmT56s8qmmTvvEJ+ftNqAiDTFPxh+9ZM6VMnp5K/c&#10;BGER5pl+TSjCMs9XIBKRqVyDOCG8rLUCWZXy/w/VD1BLAwQUAAAACACHTuJAag6PwOcBAACzAwAA&#10;DgAAAGRycy9lMm9Eb2MueG1srVPBjtMwEL0j8Q+W7zTZbMumUdM97Gq5IFipIM6uYyeWHNsau036&#10;NUjc+Ag+B/EbjJ1s6S43hCq5M+Pxm3lvJpvbsdfkKMAra2p6tcgpEYbbRpm2pp8/PbwpKfGBmYZp&#10;a0RNT8LT2+3rV5vBVaKwndWNAIIgxleDq2kXgquyzPNO9MwvrBMGL6WFngV0oc0aYAOi9zor8vxt&#10;NlhoHFguvMfo/XRJtwlfSsHDRym9CETXFHsL6YR07uOZbTesaoG5TvG5DfYPXfRMGSx6hrpngZED&#10;qL+gesXBeivDgts+s1IqLhIHZHOVv2Cz65gTiQuK491ZJv//YPmH4yMQ1eDsUB7DepzRr6/ff/74&#10;Rm7KqM7gfIVJO/cIs+fRjFRHCX38RxJkTIqezoqKMRCOwaJcLssckTne3RSrMl9F0OzPawc+vBO2&#10;J9GoKeDEkpDs+N6HKfUpJRYz9kFpjXFWafMsgJhTRKSx4+vU3CEI2HXNQBoV8YvrPLbTKNyB1RLt&#10;6IENX1ToktyRQnzood3faSBHhptT5vE39aVdx6bo9XK9Xs905vREzT7VTN5FO1kUc5IvWmHcj7Om&#10;e9uccA7M8M5iZzwAnZ27gL5k2gtKDg5U2yGLAAeRCkcY3IxUaN7iuHqXPtqX39r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D6HZ7bXAAAACwEAAA8AAAAAAAAAAQAgAAAAOAAAAGRycy9kb3ducmV2&#10;LnhtbFBLAQIUABQAAAAIAIdO4kBqDo/A5wEAALMDAAAOAAAAAAAAAAEAIAAAADwBAABkcnMvZTJv&#10;RG9jLnhtbFBLBQYAAAAABgAGAFkBAACVBQ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3“十二五”末期和“十三五”末期客运量变化图（万人）</w:t>
                      </w:r>
                    </w:p>
                  </w:txbxContent>
                </v:textbox>
                <w10:wrap type="through"/>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1693545</wp:posOffset>
                </wp:positionV>
                <wp:extent cx="28448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8" name="矩形 79"/>
                <wp:cNvGraphicFramePr/>
                <a:graphic xmlns:a="http://schemas.openxmlformats.org/drawingml/2006/main">
                  <a:graphicData uri="http://schemas.microsoft.com/office/word/2010/wordprocessingShape">
                    <wps:wsp>
                      <wps:cNvSpPr/>
                      <wps:spPr>
                        <a:xfrm>
                          <a:off x="0" y="0"/>
                          <a:ext cx="28448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4“十二五”末期和“十三五”末期客运周转量变化图（万人百公里）</w:t>
                            </w:r>
                          </w:p>
                        </w:txbxContent>
                      </wps:txbx>
                      <wps:bodyPr anchor="ctr" anchorCtr="false" upright="true"/>
                    </wps:wsp>
                  </a:graphicData>
                </a:graphic>
              </wp:anchor>
            </w:drawing>
          </mc:Choice>
          <mc:Fallback>
            <w:pict>
              <v:rect id="矩形 79" o:spid="_x0000_s1026" o:spt="1" style="position:absolute;left:0pt;margin-left:210pt;margin-top:133.35pt;height:57.15pt;width:224pt;mso-wrap-distance-left:9pt;mso-wrap-distance-right:9pt;z-index:251659264;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LB0NyjVAAAACwEAAA8AAABkcnMvZG93bnJldi54bWxNj8FOwzAMhu9IvENk&#10;JC7TlnZMXVWa7oAE9w0uu3mNacsSp2qyrbw95gRH278+f3+9m71TV5riENhAvspAEbfBDtwZ+Hh/&#10;XZagYkK26AKTgW+KsGvu72qsbLjxnq6H1CmBcKzQQJ/SWGkd2548xlUYieX2GSaPScap03bCm8C9&#10;0+ssK7THgeVDjyO99NSeDxdvYHNsHZ+PaaGZ3gbcbuaF/9ob8/iQZ8+gEs3pLwy/+qIOjTidwoVt&#10;VE4YgpeogXVRbEFJoixK2ZwMPJV5Brqp9f8OzQ9QSwMEFAAAAAgAh07iQPCvnR/oAQAAsgMAAA4A&#10;AABkcnMvZTJvRG9jLnhtbK1TwY7TMBC9I/EPlu802WzLplHTPexquSBYqSDOrmMnlhzbGrtN+jVI&#10;3PgIPgfxG4ydbOkuN4QquTPj8Zt5byab27HX5CjAK2tqerXIKRGG20aZtqafPz28KSnxgZmGaWtE&#10;TU/C09vt61ebwVWisJ3VjQCCIMZXg6tpF4KrsszzTvTML6wTBi+lhZ4FdKHNGmADovc6K/L8bTZY&#10;aBxYLrzH6P10SbcJX0rBw0cpvQhE1xR7C+mEdO7jmW03rGqBuU7xuQ32D130TBkseoa6Z4GRA6i/&#10;oHrFwXorw4LbPrNSKi4SB2Rzlb9gs+uYE4kLiuPdWSb//2D5h+MjENXUFAdlWI8j+vX1+88f38jN&#10;OoozOF9hzs49wux5NCPTUUIf/5EDGZOgp7OgYgyEY7Aol8syR9053t0UqzJfRdDsz2sHPrwTtifR&#10;qCngwJKO7Pjehyn1KSUWM/ZBaY1xVmnzLICYU0SkqePr1NwhCNh1zUAaFfGL6zy20yhcgdUS7eiB&#10;DV9U6JLakUJ86KHd32kgR4aLU+bxN/WlXcem6PVyvU4aYek5PVGzTzWTd9FOFsWc5ItWGPfjrOne&#10;NiccAzO8s9gZD0Bn5y6gL5n2gpKDA9V2yCLAQSQdIwwuRio0L3HcvEsf7ctPb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sHQ3KNUAAAALAQAADwAAAAAAAAABACAAAAA4AAAAZHJzL2Rvd25yZXYu&#10;eG1sUEsBAhQAFAAAAAgAh07iQPCvnR/oAQAAsgMAAA4AAAAAAAAAAQAgAAAAOgEAAGRycy9lMm9E&#10;b2MueG1sUEsFBgAAAAAGAAYAWQEAAJQFA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4“十二五”末期和“十三五”末期客运周转量变化图（万人百公里）</w:t>
                      </w:r>
                    </w:p>
                  </w:txbxContent>
                </v:textbox>
                <w10:wrap type="through"/>
              </v:rect>
            </w:pict>
          </mc:Fallback>
        </mc:AlternateContent>
      </w:r>
      <w:r>
        <w:drawing>
          <wp:inline distT="0" distB="0" distL="0" distR="0">
            <wp:extent cx="2807970" cy="1583690"/>
            <wp:effectExtent l="0" t="0" r="36830" b="1651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drawing>
          <wp:inline distT="0" distB="0" distL="0" distR="0">
            <wp:extent cx="2807970" cy="1583690"/>
            <wp:effectExtent l="0" t="0" r="36830" b="1651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ind w:firstLine="0" w:firstLineChars="0"/>
        <w:rPr>
          <w:b/>
        </w:rPr>
      </w:pPr>
      <w:r>
        <w:rPr>
          <w:rFonts w:hint="eastAsia"/>
          <w:b/>
        </w:rPr>
        <w:t>（3）货运量及货运周转量</w:t>
      </w:r>
    </w:p>
    <w:p>
      <w:pPr>
        <w:ind w:firstLine="560"/>
      </w:pPr>
      <w:r>
        <w:rPr>
          <w:rFonts w:hint="eastAsia"/>
        </w:rPr>
        <w:t>到</w:t>
      </w:r>
      <w:r>
        <w:t>2020</w:t>
      </w:r>
      <w:r>
        <w:rPr>
          <w:rFonts w:hint="eastAsia"/>
        </w:rPr>
        <w:t>年底，云和县力争完成货运量221万吨，货运周转量21631万吨公里。</w:t>
      </w:r>
    </w:p>
    <w:p>
      <w:pPr>
        <w:ind w:leftChars="-152" w:hanging="425" w:hangingChars="152"/>
      </w:pPr>
      <w:r>
        <mc:AlternateContent>
          <mc:Choice Requires="wps">
            <w:drawing>
              <wp:anchor distT="0" distB="0" distL="114300" distR="114300" simplePos="0" relativeHeight="251664384" behindDoc="0" locked="0" layoutInCell="1" allowOverlap="1">
                <wp:simplePos x="0" y="0"/>
                <wp:positionH relativeFrom="column">
                  <wp:posOffset>-266065</wp:posOffset>
                </wp:positionH>
                <wp:positionV relativeFrom="paragraph">
                  <wp:posOffset>1689100</wp:posOffset>
                </wp:positionV>
                <wp:extent cx="28448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4" name="矩形 82"/>
                <wp:cNvGraphicFramePr/>
                <a:graphic xmlns:a="http://schemas.openxmlformats.org/drawingml/2006/main">
                  <a:graphicData uri="http://schemas.microsoft.com/office/word/2010/wordprocessingShape">
                    <wps:wsp>
                      <wps:cNvSpPr/>
                      <wps:spPr>
                        <a:xfrm>
                          <a:off x="0" y="0"/>
                          <a:ext cx="2844800" cy="725805"/>
                        </a:xfrm>
                        <a:prstGeom prst="rect">
                          <a:avLst/>
                        </a:prstGeom>
                        <a:noFill/>
                        <a:ln>
                          <a:noFill/>
                        </a:ln>
                        <a:effectLst>
                          <a:outerShdw dist="23000" dir="5400000" rotWithShape="0">
                            <a:srgbClr val="808080">
                              <a:alpha val="34999"/>
                            </a:srgbClr>
                          </a:outerShdw>
                        </a:effectLst>
                      </wps:spPr>
                      <wps:txbx>
                        <w:txbxContent>
                          <w:p>
                            <w:pPr>
                              <w:spacing w:line="240" w:lineRule="atLeast"/>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5“十二五”末期和“十三五”末期货运量变化图（万吨）</w:t>
                            </w:r>
                          </w:p>
                        </w:txbxContent>
                      </wps:txbx>
                      <wps:bodyPr anchor="ctr" anchorCtr="false" upright="true"/>
                    </wps:wsp>
                  </a:graphicData>
                </a:graphic>
              </wp:anchor>
            </w:drawing>
          </mc:Choice>
          <mc:Fallback>
            <w:pict>
              <v:rect id="矩形 82" o:spid="_x0000_s1026" o:spt="1" style="position:absolute;left:0pt;margin-left:-20.95pt;margin-top:133pt;height:57.15pt;width:224pt;mso-wrap-distance-left:9pt;mso-wrap-distance-right:9pt;z-index:251664384;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A5TZETXAAAACwEAAA8AAABkcnMvZG93bnJldi54bWxNjzFvwjAQhfdK/Q/W&#10;VeqCwA5EKU3jMFQqO5SFzcTXJMU+R7GB8O97ndrxdJ/e+161mbwTVxxjH0hDtlAgkJpge2o1HD4/&#10;5msQMRmyxgVCDXeMsKkfHypT2nCjHV73qRUcQrE0GrqUhlLK2HToTVyEAYl/X2H0JvE5ttKO5sbh&#10;3smlUoX0pidu6MyA7x025/3Fa8iPjaPzMc0k4bY3L/k08987rZ+fMvUGIuGU/mD41Wd1qNnpFC5k&#10;o3Aa5nn2yqiGZVHwKCZyVWQgThpWa7UCWVfy/4b6B1BLAwQUAAAACACHTuJA6BSgregBAACzAwAA&#10;DgAAAGRycy9lMm9Eb2MueG1srVPBjtMwEL0j8Q+W7zTZbAtp1HQPu1ouCFbqIs6uYyeWHNsau036&#10;NUjc+Ag+B/EbjJ1sKbs3hCq5M+Pxm3lvJpubsdfkKMAra2p6tcgpEYbbRpm2pp8f79+UlPjATMO0&#10;NaKmJ+Hpzfb1q83gKlHYzupGAEEQ46vB1bQLwVVZ5nkneuYX1gmDl9JCzwK60GYNsAHRe50Vef42&#10;Gyw0DiwX3mP0brqk24QvpeDhk5ReBKJrir2FdEI69/HMthtWtcBcp/jcBvuHLnqmDBY9Q92xwMgB&#10;1AuoXnGw3sqw4LbPrJSKi8QB2Vzlz9jsOuZE4oLieHeWyf8/WP7x+ABENTi7JSWG9TijX1+///zx&#10;jZRFVGdwvsKknXuA2fNoRqqjhD7+IwkyJkVPZ0XFGAjHYFEul2WOwnO8e1esynwVQbM/rx348F7Y&#10;nkSjpoATS0Ky4wcfptSnlFjM2HulNcZZpc1fAcScIiKNHV+n5g5BwK5rBtKoiF9c57GdRuEOrJZo&#10;Rw9s+KJCl+SOFOJDD+3+VgM5MtycMo+/qS/tOjZFr5fr9XqmM6cnavapZvIu2smimJN80Qrjfpw1&#10;3dvmhHNghncWO+MB6OzcBvQl015QcnCg2g5ZBDiIVDjC4GakQvMWx9W79NG+/Na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OU2RE1wAAAAsBAAAPAAAAAAAAAAEAIAAAADgAAABkcnMvZG93bnJl&#10;di54bWxQSwECFAAUAAAACACHTuJA6BSgregBAACzAwAADgAAAAAAAAABACAAAAA8AQAAZHJzL2Uy&#10;b0RvYy54bWxQSwUGAAAAAAYABgBZAQAAlgUAAAAA&#10;">
                <v:fill on="f" focussize="0,0"/>
                <v:stroke on="f"/>
                <v:imagedata o:title=""/>
                <o:lock v:ext="edit" aspectratio="f"/>
                <v:shadow on="t" color="#808080" opacity="22936f" offset="0pt,1.81102362204724pt" origin="0f,32768f" matrix="65536f,0f,0f,65536f"/>
                <v:textbox>
                  <w:txbxContent>
                    <w:p>
                      <w:pPr>
                        <w:spacing w:line="240" w:lineRule="atLeast"/>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5“十二五”末期和“十三五”末期货运量变化图（万吨）</w:t>
                      </w:r>
                    </w:p>
                  </w:txbxContent>
                </v:textbox>
                <w10:wrap type="through"/>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1689100</wp:posOffset>
                </wp:positionV>
                <wp:extent cx="28448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3" name="矩形 83"/>
                <wp:cNvGraphicFramePr/>
                <a:graphic xmlns:a="http://schemas.openxmlformats.org/drawingml/2006/main">
                  <a:graphicData uri="http://schemas.microsoft.com/office/word/2010/wordprocessingShape">
                    <wps:wsp>
                      <wps:cNvSpPr/>
                      <wps:spPr>
                        <a:xfrm>
                          <a:off x="0" y="0"/>
                          <a:ext cx="28448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6“十二五”末期和“十三五”末期货运周转量变化图（万吨公里）</w:t>
                            </w:r>
                          </w:p>
                        </w:txbxContent>
                      </wps:txbx>
                      <wps:bodyPr anchor="ctr" anchorCtr="false" upright="true"/>
                    </wps:wsp>
                  </a:graphicData>
                </a:graphic>
              </wp:anchor>
            </w:drawing>
          </mc:Choice>
          <mc:Fallback>
            <w:pict>
              <v:rect id="矩形 83" o:spid="_x0000_s1026" o:spt="1" style="position:absolute;left:0pt;margin-left:210pt;margin-top:133pt;height:57.15pt;width:224pt;mso-wrap-distance-left:9pt;mso-wrap-distance-right:9pt;z-index:251663360;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ICgNNrVAAAACwEAAA8AAABkcnMvZG93bnJldi54bWxNj01PwzAMhu9I/IfI&#10;SFwmlu5DXVWa7oAE9w0uu3mNacsSp2qyrfv3Mye4vZZfPX5cbSfv1IXG2Ac2sJhnoIibYHtuDXx9&#10;vr8UoGJCtugCk4EbRdjWjw8VljZceUeXfWqVQDiWaKBLaSi1jk1HHuM8DMSy+w6jxyTj2Go74lXg&#10;3ullluXaY89yocOB3jpqTvuzN7A+NI5PhzTTTB89btbTzP/sjHl+WmSvoBJN6a8Mv/qiDrU4HcOZ&#10;bVROGIKXqoFlnkuQRpEXEo4GVkW2Al1X+v8P9R1QSwMEFAAAAAgAh07iQKsSE27nAQAAswMAAA4A&#10;AABkcnMvZTJvRG9jLnhtbK1TwY7TMBC9I/EPlu802bSFNGq6h10tFwQrdRFn17ETS45tjd0m/Rok&#10;bnwEn4P4DcZOthS4IVTJnRmP38x7M9nejr0mJwFeWVPTm0VOiTDcNsq0Nf349PCqpMQHZhqmrRE1&#10;PQtPb3cvX2wHV4nCdlY3AgiCGF8NrqZdCK7KMs870TO/sE4YvJQWehbQhTZrgA2I3uusyPPX2WCh&#10;cWC58B6j99Ml3SV8KQUPH6T0IhBdU+wtpBPSeYhnttuyqgXmOsXnNtg/dNEzZbDoBeqeBUaOoP6C&#10;6hUH660MC277zEqpuEgckM1N/gebfcecSFxQHO8uMvn/B8vfnx6BqAZnt6TEsB5n9OPz1+/fvpBy&#10;GdUZnK8wae8eYfY8mpHqKKGP/0iCjEnR80VRMQbCMViUq1WZo/Ac794U6zJfR9Ds12sHPrwVtifR&#10;qCngxJKQ7PTOhyn1OSUWM/ZBaY1xVmnzWwAxp4hIY8fXqbljELDvmoE0KuIXyzy20yjcgfUK7eiB&#10;DZ9U6JLckUJ86KE93GkgJ4abU+bxN/WlXcem6HK12WxmOnN6omafaybvqp0sijnJF60wHsZZ04Nt&#10;zjgHZnhnsTMegM7OXUBfMu0FJUcHqu2QRYCjSIUjDG5GKjRvcVy9ax/t629t9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AoDTa1QAAAAsBAAAPAAAAAAAAAAEAIAAAADgAAABkcnMvZG93bnJldi54&#10;bWxQSwECFAAUAAAACACHTuJAqxITbucBAACzAwAADgAAAAAAAAABACAAAAA6AQAAZHJzL2Uyb0Rv&#10;Yy54bWxQSwUGAAAAAAYABgBZAQAAkwU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6“十二五”末期和“十三五”末期货运周转量变化图（万吨公里）</w:t>
                      </w:r>
                    </w:p>
                  </w:txbxContent>
                </v:textbox>
                <w10:wrap type="through"/>
              </v:rect>
            </w:pict>
          </mc:Fallback>
        </mc:AlternateContent>
      </w:r>
      <w:r>
        <w:drawing>
          <wp:inline distT="0" distB="0" distL="0" distR="0">
            <wp:extent cx="2807970" cy="1583690"/>
            <wp:effectExtent l="0" t="0" r="36830" b="1651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drawing>
          <wp:inline distT="0" distB="0" distL="0" distR="0">
            <wp:extent cx="2807970" cy="1583690"/>
            <wp:effectExtent l="0" t="0" r="36830" b="16510"/>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ind w:firstLine="0" w:firstLineChars="0"/>
        <w:rPr>
          <w:b/>
        </w:rPr>
      </w:pPr>
      <w:r>
        <w:rPr>
          <w:rFonts w:hint="eastAsia"/>
          <w:b/>
        </w:rPr>
        <w:t>（4）运输车辆</w:t>
      </w:r>
    </w:p>
    <w:p>
      <w:pPr>
        <w:ind w:firstLine="560"/>
      </w:pPr>
      <w:r>
        <w:rPr>
          <w:rFonts w:hint="eastAsia"/>
        </w:rPr>
        <w:t>“十三五”期间，云和县将加快更新换代城乡公交运营车辆，实行城乡公交标准车型，提高运营车辆的空调车比例。到“十三五”末期，云和县拥有营运性客运车数量将达到110辆；营业性货运车将达到640辆；城市公交车数量达到34辆，万人城市公交拥有率达到3%。旅游客运将成为云和县“十三五”期间道路运输发展工作重点，截止到2020年，云和县旅游车数量增加50%，达到12辆。在出租车运输车辆方面，到2020年底，云和县新增城市出租车20辆，出租车数量达到44辆，每千人出租车保有量达到0.4辆。</w:t>
      </w:r>
    </w:p>
    <w:p>
      <w:pPr>
        <w:ind w:leftChars="-152" w:hanging="425" w:hangingChars="152"/>
      </w:pPr>
      <w:r>
        <mc:AlternateContent>
          <mc:Choice Requires="wps">
            <w:drawing>
              <wp:anchor distT="0" distB="0" distL="114300" distR="114300" simplePos="0" relativeHeight="251666432" behindDoc="0" locked="0" layoutInCell="1" allowOverlap="1">
                <wp:simplePos x="0" y="0"/>
                <wp:positionH relativeFrom="column">
                  <wp:posOffset>2717165</wp:posOffset>
                </wp:positionH>
                <wp:positionV relativeFrom="paragraph">
                  <wp:posOffset>1697355</wp:posOffset>
                </wp:positionV>
                <wp:extent cx="27559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7" name="矩形 88"/>
                <wp:cNvGraphicFramePr/>
                <a:graphic xmlns:a="http://schemas.openxmlformats.org/drawingml/2006/main">
                  <a:graphicData uri="http://schemas.microsoft.com/office/word/2010/wordprocessingShape">
                    <wps:wsp>
                      <wps:cNvSpPr/>
                      <wps:spPr>
                        <a:xfrm>
                          <a:off x="0" y="0"/>
                          <a:ext cx="27559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图5-8“十二五”末期和“十三五”末期营业性货运车辆变化图（辆）</w:t>
                            </w:r>
                          </w:p>
                        </w:txbxContent>
                      </wps:txbx>
                      <wps:bodyPr anchor="ctr" anchorCtr="false" upright="true"/>
                    </wps:wsp>
                  </a:graphicData>
                </a:graphic>
              </wp:anchor>
            </w:drawing>
          </mc:Choice>
          <mc:Fallback>
            <w:pict>
              <v:rect id="矩形 88" o:spid="_x0000_s1026" o:spt="1" style="position:absolute;left:0pt;margin-left:213.95pt;margin-top:133.65pt;height:57.15pt;width:217pt;mso-wrap-distance-left:9pt;mso-wrap-distance-right:9pt;z-index:251666432;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H6giGXXAAAACwEAAA8AAABkcnMvZG93bnJldi54bWxNj8FOwzAMhu9IvENk&#10;JC4TS9tNbVea7oAE941ddssa03ZLnKrJtvL2mBMcbf/6/P31dnZW3HAKgycF6TIBgdR6M1Cn4PD5&#10;/lKCCFGT0dYTKvjGANvm8aHWlfF32uFtHzvBEAqVVtDHOFZShrZHp8PSj0h8+/KT05HHqZNm0neG&#10;OyuzJMml0wPxh16P+NZje9lfnYL1sbV0OcaFJPwYdLGeF+68U+r5KU1eQUSc418YfvVZHRp2Ovkr&#10;mSAsM7Jiw1EFWV6sQHCizFPenBSsyjQH2dTyf4fmB1BLAwQUAAAACACHTuJAHM/+YugBAACzAwAA&#10;DgAAAGRycy9lMm9Eb2MueG1srVPBjtMwEL0j8Q+W7zTZ7JamUdM97Gq5IFipIM6uYyeWHNsau036&#10;NUjc+Ag+B/EbjJ1s6S43hCq5M+Pxm3lvJpvbsdfkKMAra2p6tcgpEYbbRpm2pp8/PbwpKfGBmYZp&#10;a0RNT8LT2+3rV5vBVaKwndWNAIIgxleDq2kXgquyzPNO9MwvrBMGL6WFngV0oc0aYAOi9zor8vxt&#10;NlhoHFguvMfo/XRJtwlfSsHDRym9CETXFHsL6YR07uOZbTesaoG5TvG5DfYPXfRMGSx6hrpngZED&#10;qL+gesXBeivDgts+s1IqLhIHZHOVv2Cz65gTiQuK491ZJv//YPmH4yMQ1eDsVpQY1uOMfn39/vPH&#10;N1KWUZ3B+QqTdu4RZs+jGamOEvr4jyTImBQ9nRUVYyAcg8VquVznKDzHu1WxLPNlBM3+vHbgwzth&#10;exKNmgJOLAnJju99mFKfUmIxYx+U1hhnlTbPAog5RUQaO75OzR2CgF3XDKRREb+4zmM7jcIdWN6g&#10;HT2w4YsKXZI7UogPPbT7Ow3kyHBzyjz+pr6069gUvb5Zr9cznTk9UbNPNZN30U4WxZzki1YY9+Os&#10;6d42J5wDM7yz2BkPQGfnLqAvmfaCkoMD1XbIIsBBpMIRBjcjFZq3OK7epY/25be2/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oIhl1wAAAAsBAAAPAAAAAAAAAAEAIAAAADgAAABkcnMvZG93bnJl&#10;di54bWxQSwECFAAUAAAACACHTuJAHM/+YugBAACzAwAADgAAAAAAAAABACAAAAA8AQAAZHJzL2Uy&#10;b0RvYy54bWxQSwUGAAAAAAYABgBZAQAAlgU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图5-8“十二五”末期和“十三五”末期营业性货运车辆变化图（辆）</w:t>
                      </w:r>
                    </w:p>
                  </w:txbxContent>
                </v:textbox>
                <w10:wrap type="through"/>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-266065</wp:posOffset>
                </wp:positionH>
                <wp:positionV relativeFrom="paragraph">
                  <wp:posOffset>1692910</wp:posOffset>
                </wp:positionV>
                <wp:extent cx="27559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5" name="矩形 87"/>
                <wp:cNvGraphicFramePr/>
                <a:graphic xmlns:a="http://schemas.openxmlformats.org/drawingml/2006/main">
                  <a:graphicData uri="http://schemas.microsoft.com/office/word/2010/wordprocessingShape">
                    <wps:wsp>
                      <wps:cNvSpPr/>
                      <wps:spPr>
                        <a:xfrm>
                          <a:off x="0" y="0"/>
                          <a:ext cx="27559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图5-7“十二五”末期和“十三五”末期营业性客运车辆变化图（辆）</w:t>
                            </w:r>
                          </w:p>
                        </w:txbxContent>
                      </wps:txbx>
                      <wps:bodyPr anchor="ctr" anchorCtr="false" upright="true"/>
                    </wps:wsp>
                  </a:graphicData>
                </a:graphic>
              </wp:anchor>
            </w:drawing>
          </mc:Choice>
          <mc:Fallback>
            <w:pict>
              <v:rect id="矩形 87" o:spid="_x0000_s1026" o:spt="1" style="position:absolute;left:0pt;margin-left:-20.95pt;margin-top:133.3pt;height:57.15pt;width:217pt;mso-wrap-distance-left:9pt;mso-wrap-distance-right:9pt;z-index:251665408;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FUzfPbYAAAACwEAAA8AAABkcnMvZG93bnJldi54bWxNj8FOwzAMhu9IvENk&#10;JC7TlrZUZe2a7oAE941ddvMa03ZLnKrJtvL2hBPcbPnT7++vt7M14kaTHxwrSFcJCOLW6YE7BYfP&#10;9+UahA/IGo1jUvBNHrbN40ONlXZ33tFtHzoRQ9hXqKAPYayk9G1PFv3KjcTx9uUmiyGuUyf1hPcY&#10;bo3MkqSQFgeOH3oc6a2n9rK/WgX5sTV8OYaFZPoY8DWfF/a8U+r5KU02IALN4Q+GX/2oDk10Orkr&#10;ay+MgmWelhFVkBVFASISL2WWgjjFYZ2UIJta/u/Q/ABQSwMEFAAAAAgAh07iQHOFttDoAQAAswMA&#10;AA4AAABkcnMvZTJvRG9jLnhtbK1TwY7TMBC9I/EPlu802eyGtlHTPexquSBYqSDOrmMnlhzbGrtN&#10;+jVI3PgIPgfxG4ydbOkuN4QquTPj8Zt5byab27HX5CjAK2tqerXIKRGG20aZtqafPz28WVHiAzMN&#10;09aImp6Ep7fb1682g6tEYTurGwEEQYyvBlfTLgRXZZnnneiZX1gnDF5KCz0L6EKbNcAGRO91VuT5&#10;22yw0DiwXHiP0fvpkm4TvpSCh49SehGIrin2FtIJ6dzHM9tuWNUCc53icxvsH7romTJY9Ax1zwIj&#10;B1B/QfWKg/VWhgW3fWalVFwkDsjmKn/BZtcxJxIXFMe7s0z+/8HyD8dHIKrB2ZWUGNbjjH59/f7z&#10;xzeyWkZ1BucrTNq5R5g9j2akOkro4z+SIGNS9HRWVIyBcAwWy7Jc5yg8x7tlUa7yMoJmf1478OGd&#10;sD2JRk0BJ5aEZMf3PkypTymxmLEPSmuMs0qbZwHEnCIijR1fp+YOQcCuawbSqIhfXOexnUbhDpQ3&#10;aEcPbPiiQpfkjhTiQw/t/k4DOTLcnFUef1Nf2nVsil7frNfrmc6cnqjZp5rJu2gni2JO8kUrjPtx&#10;1nRvmxPOgRneWeyMB6CzcxfQl0x7QcnBgWo7ZBHgIFLhCIObkQrNWxxX79JH+/Jb2/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VTN89tgAAAALAQAADwAAAAAAAAABACAAAAA4AAAAZHJzL2Rvd25y&#10;ZXYueG1sUEsBAhQAFAAAAAgAh07iQHOFttDoAQAAswMAAA4AAAAAAAAAAQAgAAAAPQEAAGRycy9l&#10;Mm9Eb2MueG1sUEsFBgAAAAAGAAYAWQEAAJcFA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图5-7“十二五”末期和“十三五”末期营业性客运车辆变化图（辆）</w:t>
                      </w:r>
                    </w:p>
                  </w:txbxContent>
                </v:textbox>
                <w10:wrap type="through"/>
              </v:rect>
            </w:pict>
          </mc:Fallback>
        </mc:AlternateContent>
      </w:r>
      <w:r>
        <w:drawing>
          <wp:inline distT="0" distB="0" distL="0" distR="0">
            <wp:extent cx="2807970" cy="1583690"/>
            <wp:effectExtent l="0" t="0" r="36830" b="1651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drawing>
          <wp:inline distT="0" distB="0" distL="0" distR="0">
            <wp:extent cx="2807970" cy="1583690"/>
            <wp:effectExtent l="0" t="0" r="36830" b="1651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ind w:leftChars="-152" w:hanging="425" w:hangingChars="152"/>
      </w:pPr>
    </w:p>
    <w:p>
      <w:pPr>
        <w:ind w:leftChars="-152" w:hanging="425" w:hangingChars="152"/>
      </w:pPr>
    </w:p>
    <w:p>
      <w:pPr>
        <w:ind w:firstLine="560"/>
      </w:pPr>
    </w:p>
    <w:p>
      <w:pPr>
        <w:ind w:leftChars="-152" w:hanging="425" w:hangingChars="152"/>
      </w:pPr>
      <w:r>
        <mc:AlternateContent>
          <mc:Choice Requires="wps">
            <w:drawing>
              <wp:anchor distT="0" distB="0" distL="114300" distR="114300" simplePos="0" relativeHeight="251661312" behindDoc="0" locked="0" layoutInCell="1" allowOverlap="1">
                <wp:simplePos x="0" y="0"/>
                <wp:positionH relativeFrom="column">
                  <wp:posOffset>2715260</wp:posOffset>
                </wp:positionH>
                <wp:positionV relativeFrom="paragraph">
                  <wp:posOffset>1750695</wp:posOffset>
                </wp:positionV>
                <wp:extent cx="2933700" cy="721360"/>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1" name="矩形 76"/>
                <wp:cNvGraphicFramePr/>
                <a:graphic xmlns:a="http://schemas.openxmlformats.org/drawingml/2006/main">
                  <a:graphicData uri="http://schemas.microsoft.com/office/word/2010/wordprocessingShape">
                    <wps:wsp>
                      <wps:cNvSpPr/>
                      <wps:spPr>
                        <a:xfrm>
                          <a:off x="0" y="0"/>
                          <a:ext cx="2933700" cy="721360"/>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10“十二五”末期和“十三五”末期公交车保有量变化图（辆）</w:t>
                            </w:r>
                          </w:p>
                        </w:txbxContent>
                      </wps:txbx>
                      <wps:bodyPr anchor="ctr" anchorCtr="false" upright="true"/>
                    </wps:wsp>
                  </a:graphicData>
                </a:graphic>
              </wp:anchor>
            </w:drawing>
          </mc:Choice>
          <mc:Fallback>
            <w:pict>
              <v:rect id="矩形 76" o:spid="_x0000_s1026" o:spt="1" style="position:absolute;left:0pt;margin-left:213.8pt;margin-top:137.85pt;height:56.8pt;width:231pt;mso-wrap-distance-left:9pt;mso-wrap-distance-right:9pt;z-index:251661312;v-text-anchor:middle;mso-width-relative:page;mso-height-relative:page;" filled="f" stroked="f" coordsize="21600,21600" wrapcoords="21592 -2 0 0 0 21600 21592 21602 8 21602 21600 21600 21600 0 8 -2 21592 -2" o:gfxdata="UEsFBgAAAAAAAAAAAAAAAAAAAAAAAFBLAwQKAAAAAACHTuJAAAAAAAAAAAAAAAAABAAAAGRycy9Q&#10;SwMEFAAAAAgAh07iQG/FjtzXAAAACwEAAA8AAABkcnMvZG93bnJldi54bWxNj7FOw0AMhnck3uFk&#10;JJaKXpqWJg25dECCvS1LNzcxSeidL8pd2/D2mAlG278+f3+5nZxVVxpD79nAYp6AIq5903Nr4OPw&#10;9pSDChG5QeuZDHxTgG11f1di0fgb7+i6j60SCIcCDXQxDoXWoe7IYZj7gVhun350GGUcW92MeBO4&#10;szpNkrV22LN86HCg147q8/7iDKyOteXzMc4003uP2Wqaua+dMY8Pi+QFVKQp/oXhV1/UoRKnk79w&#10;E5QVRpqtJWogzZ4zUJLI841sTgaW+WYJuir1/w7VD1BLAwQUAAAACACHTuJAHGqkDekBAACzAwAA&#10;DgAAAGRycy9lMm9Eb2MueG1srVPBjtMwEL0j8Q+W7zRpsrTbqOkedrVcEKxUEGfXsRNLjm2N3Sb9&#10;GiRufASfg/gNxk62FLghVMmdGY/fzHsz2d6NvSYnAV5ZU9PlIqdEGG4bZdqafvzw+OqWEh+YaZi2&#10;RtT0LDy92718sR1cJQrbWd0IIAhifDW4mnYhuCrLPO9Ez/zCOmHwUlroWUAX2qwBNiB6r7Miz1fZ&#10;YKFxYLnwHqMP0yXdJXwpBQ/vpfQiEF1T7C2kE9J5iGe227KqBeY6xec22D900TNlsOgF6oEFRo6g&#10;/oLqFQfrrQwLbvvMSqm4SByQzTL/g82+Y04kLiiOdxeZ/P+D5e9OT0BUg7NbUmJYjzP68fnr929f&#10;yHoV1RmcrzBp755g9jyakeoooY//SIKMSdHzRVExBsIxWGzKcp2j8Bzv1sWyXCXJs1+vHfjwRtie&#10;RKOmgBNLQrLTWx+wIqY+p8Rixj4qrdPUtPktgIlTRKSx4+vU3DEI2HfNQBoV8Ysyj+00Cnfg9Q3a&#10;0QMbPqnQJbkjhfjQQ3u410BODDfnNo+/qS/tOjZFy5vNZhM1wtJzerLtc83kXbWTRTEn+aIVxsM4&#10;a3qwzRnnwAzvLHbGA9DZuQ/oS6a9oOToQLUdsghwFKlwhMHNSIXmLY6rd+2jff2t7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b8WO3NcAAAALAQAADwAAAAAAAAABACAAAAA4AAAAZHJzL2Rvd25y&#10;ZXYueG1sUEsBAhQAFAAAAAgAh07iQBxqpA3pAQAAswMAAA4AAAAAAAAAAQAgAAAAPAEAAGRycy9l&#10;Mm9Eb2MueG1sUEsFBgAAAAAGAAYAWQEAAJcFA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10“十二五”末期和“十三五”末期公交车保有量变化图（辆）</w:t>
                      </w:r>
                    </w:p>
                  </w:txbxContent>
                </v:textbox>
                <w10:wrap type="through"/>
              </v:rect>
            </w:pict>
          </mc:Fallback>
        </mc:AlternateContent>
      </w:r>
      <w:r>
        <w:drawing>
          <wp:inline distT="0" distB="0" distL="0" distR="0">
            <wp:extent cx="2807970" cy="1583690"/>
            <wp:effectExtent l="0" t="0" r="36830" b="1651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drawing>
          <wp:inline distT="0" distB="0" distL="0" distR="0">
            <wp:extent cx="2807970" cy="1583690"/>
            <wp:effectExtent l="0" t="0" r="36830" b="1651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ind w:firstLine="184" w:firstLineChars="66"/>
        <w:rPr>
          <w:b/>
        </w:rPr>
      </w:pPr>
      <w:r>
        <mc:AlternateContent>
          <mc:Choice Requires="wps">
            <w:drawing>
              <wp:anchor distT="0" distB="0" distL="114300" distR="114300" simplePos="0" relativeHeight="251662336" behindDoc="0" locked="0" layoutInCell="1" allowOverlap="1">
                <wp:simplePos x="0" y="0"/>
                <wp:positionH relativeFrom="column">
                  <wp:posOffset>-177165</wp:posOffset>
                </wp:positionH>
                <wp:positionV relativeFrom="paragraph">
                  <wp:posOffset>60325</wp:posOffset>
                </wp:positionV>
                <wp:extent cx="2844800" cy="725805"/>
                <wp:effectExtent l="0" t="0" r="0" b="0"/>
                <wp:wrapThrough wrapText="bothSides">
                  <wp:wrapPolygon>
                    <wp:start x="21592" y="-2"/>
                    <wp:lineTo x="0" y="0"/>
                    <wp:lineTo x="0" y="21599"/>
                    <wp:lineTo x="21592" y="21601"/>
                    <wp:lineTo x="8" y="21601"/>
                    <wp:lineTo x="21600" y="21599"/>
                    <wp:lineTo x="21600" y="0"/>
                    <wp:lineTo x="8" y="-2"/>
                    <wp:lineTo x="21592" y="-2"/>
                  </wp:wrapPolygon>
                </wp:wrapThrough>
                <wp:docPr id="12" name="矩形 77"/>
                <wp:cNvGraphicFramePr/>
                <a:graphic xmlns:a="http://schemas.openxmlformats.org/drawingml/2006/main">
                  <a:graphicData uri="http://schemas.microsoft.com/office/word/2010/wordprocessingShape">
                    <wps:wsp>
                      <wps:cNvSpPr/>
                      <wps:spPr>
                        <a:xfrm>
                          <a:off x="0" y="0"/>
                          <a:ext cx="2844800" cy="725805"/>
                        </a:xfrm>
                        <a:prstGeom prst="rect">
                          <a:avLst/>
                        </a:prstGeom>
                        <a:noFill/>
                        <a:ln>
                          <a:noFill/>
                        </a:ln>
                        <a:effectLst>
                          <a:outerShdw dist="23000" dir="5400000" rotWithShape="0">
                            <a:srgbClr val="808080">
                              <a:alpha val="34999"/>
                            </a:srgbClr>
                          </a:outerShdw>
                        </a:effectLst>
                      </wps:spPr>
                      <wps:txb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9“十二五”末期和“十三五”末期出租车保有量变化图（辆）</w:t>
                            </w:r>
                          </w:p>
                        </w:txbxContent>
                      </wps:txbx>
                      <wps:bodyPr anchor="ctr" anchorCtr="false" upright="true"/>
                    </wps:wsp>
                  </a:graphicData>
                </a:graphic>
              </wp:anchor>
            </w:drawing>
          </mc:Choice>
          <mc:Fallback>
            <w:pict>
              <v:rect id="矩形 77" o:spid="_x0000_s1026" o:spt="1" style="position:absolute;left:0pt;margin-left:-13.95pt;margin-top:4.75pt;height:57.15pt;width:224pt;mso-wrap-distance-left:9pt;mso-wrap-distance-right:9pt;z-index:251662336;v-text-anchor:middle;mso-width-relative:page;mso-height-relative:page;" filled="f" stroked="f" coordsize="21600,21600" wrapcoords="21592 -2 0 0 0 21599 21592 21601 8 21601 21600 21599 21600 0 8 -2 21592 -2" o:gfxdata="UEsFBgAAAAAAAAAAAAAAAAAAAAAAAFBLAwQKAAAAAACHTuJAAAAAAAAAAAAAAAAABAAAAGRycy9Q&#10;SwMEFAAAAAgAh07iQBu82RHWAAAACQEAAA8AAABkcnMvZG93bnJldi54bWxNjzFPwzAQhXck/oN1&#10;SCxVaycE2oY4HZBgb2Hp5sbXJK19jmK3Df+eY4Lx9D699121mbwTVxxjH0hDtlAgkJpge2o1fH2+&#10;z1cgYjJkjQuEGr4xwqa+v6tMacONtnjdpVZwCcXSaOhSGkopY9OhN3ERBiTOjmH0JvE5ttKO5sbl&#10;3slcqRfpTU+80JkB3zpszruL11DsG0fnfZpJwo/eLItp5k9brR8fMvUKIuGU/mD41Wd1qNnpEC5k&#10;o3Aa5vlyzaiG9TMIzotcZSAODOZPK5B1Jf9/UP8AUEsDBBQAAAAIAIdO4kAFRMdy5wEAALMDAAAO&#10;AAAAZHJzL2Uyb0RvYy54bWytU8GO0zAQvSPxD5bvNNlsS9Oo6R52tVwQrFQQZ9d2EkuObY3dJv0a&#10;JG58BJ+D+A3GTrYUuCFUyZ0Zj9/MezPZ3o29JicJXllT05tFTok03Apl2pp+/PD4qqTEB2YE09bI&#10;mp6lp3e7ly+2g6tkYTurhQSCIMZXg6tpF4KrsszzTvbML6yTBi8bCz0L6EKbCWADovc6K/L8dTZY&#10;EA4sl95j9GG6pLuE3zSSh/dN42UguqbYW0gnpPMQz2y3ZVULzHWKz22wf+iiZ8pg0QvUAwuMHEH9&#10;BdUrDtbbJiy47TPbNIrLxAHZ3OR/sNl3zMnEBcXx7iKT/3+w/N3pCYgSOLuCEsN6nNGPz1+/f/tC&#10;1uuozuB8hUl79wSz59GMVMcG+viPJMiYFD1fFJVjIByDRblcljkKz/FuXazKfBVBs1+vHfjwRtqe&#10;RKOmgBNLQrLTWx+m1OeUWMzYR6U1xlmlzW8BxJwiMo0dX6fmjkHCvhMDESriF7d5bEco3IHVEu3o&#10;gQ2fVOiS3JFCfOihPdxrICeGm1Pm8Tf1pV3HpujtcrPZzHTm9ETNPtdM3lU7WRRzki9aYTyMs6YH&#10;K844B2Z4Z7EzHoDOzn1Av2HaS0qODlTbIYsAR5kKRxjcjFRo3uK4etc+2tff2u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G7zZEdYAAAAJAQAADwAAAAAAAAABACAAAAA4AAAAZHJzL2Rvd25yZXYu&#10;eG1sUEsBAhQAFAAAAAgAh07iQAVEx3LnAQAAswMAAA4AAAAAAAAAAQAgAAAAOwEAAGRycy9lMm9E&#10;b2MueG1sUEsFBgAAAAAGAAYAWQEAAJQFAAAAAA==&#10;">
                <v:fill on="f" focussize="0,0"/>
                <v:stroke on="f"/>
                <v:imagedata o:title=""/>
                <o:lock v:ext="edit" aspectratio="f"/>
                <v:shadow on="t" color="#808080" opacity="22936f" offset="0pt,1.81102362204724pt" origin="0f,32768f" matrix="65536f,0f,0f,65536f"/>
                <v:textbox>
                  <w:txbxContent>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图5</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9“十二五”末期和“十三五”末期出租车保有量变化图（辆）</w:t>
                      </w:r>
                    </w:p>
                  </w:txbxContent>
                </v:textbox>
                <w10:wrap type="through"/>
              </v:rect>
            </w:pict>
          </mc:Fallback>
        </mc:AlternateContent>
      </w:r>
      <w:r>
        <w:rPr>
          <w:b/>
        </w:rPr>
        <w:t>——</w:t>
      </w:r>
      <w:r>
        <w:rPr>
          <w:rFonts w:hint="eastAsia"/>
          <w:b/>
        </w:rPr>
        <w:t>服务效能</w:t>
      </w:r>
    </w:p>
    <w:p>
      <w:pPr>
        <w:ind w:firstLine="185" w:firstLineChars="66"/>
        <w:rPr>
          <w:b/>
        </w:rPr>
      </w:pPr>
      <w:r>
        <w:rPr>
          <w:rFonts w:hint="eastAsia"/>
          <w:b/>
        </w:rPr>
        <w:t>（</w:t>
      </w:r>
      <w:r>
        <w:rPr>
          <w:b/>
        </w:rPr>
        <w:t>1</w:t>
      </w:r>
      <w:r>
        <w:rPr>
          <w:rFonts w:hint="eastAsia"/>
          <w:b/>
        </w:rPr>
        <w:t>）推进城市公共交通服务水平提升</w:t>
      </w:r>
    </w:p>
    <w:p>
      <w:pPr>
        <w:pStyle w:val="32"/>
        <w:numPr>
          <w:ilvl w:val="0"/>
          <w:numId w:val="2"/>
        </w:numPr>
        <w:ind w:firstLineChars="0"/>
        <w:rPr>
          <w:b/>
        </w:rPr>
      </w:pPr>
      <w:r>
        <w:rPr>
          <w:rFonts w:hint="eastAsia"/>
          <w:b/>
        </w:rPr>
        <w:t>优化城市公交线网方面</w:t>
      </w:r>
    </w:p>
    <w:p>
      <w:pPr>
        <w:ind w:firstLine="560"/>
      </w:pPr>
      <w:r>
        <w:rPr>
          <w:rFonts w:hint="eastAsia"/>
        </w:rPr>
        <w:t>截止到“十三五”末期，云和县城市公交线路将进行优化调整，形成5条公交线路，其中3条上下行线，2条环线。主要覆盖云和县主城区，覆盖所有行政办事机构、商场、居民区及学校，满足云和县居民生活及生产需要。到2020年末，基本形成以公共交通为主导的公交网络。（具体规划详见专题报告一：云和县公交出行调查报告）。</w:t>
      </w:r>
    </w:p>
    <w:p>
      <w:pPr>
        <w:pStyle w:val="60"/>
      </w:pPr>
      <w:r>
        <w:rPr>
          <w:rFonts w:hint="eastAsia"/>
        </w:rPr>
        <w:t>表5-2“十三五”公交线网规划</w:t>
      </w:r>
    </w:p>
    <w:tbl>
      <w:tblPr>
        <w:tblStyle w:val="24"/>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905"/>
        <w:gridCol w:w="938"/>
        <w:gridCol w:w="3670"/>
        <w:gridCol w:w="148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shd w:val="clear" w:color="auto" w:fill="D8D8D8" w:themeFill="background1" w:themeFillShade="D9"/>
            <w:vAlign w:val="center"/>
          </w:tcPr>
          <w:p>
            <w:pPr>
              <w:ind w:firstLine="198" w:firstLineChars="90"/>
              <w:rPr>
                <w:rFonts w:ascii="宋体" w:hAnsi="宋体"/>
                <w:b/>
                <w:bCs/>
                <w:sz w:val="22"/>
                <w:szCs w:val="21"/>
              </w:rPr>
            </w:pPr>
            <w:r>
              <w:rPr>
                <w:rFonts w:hint="eastAsia" w:ascii="宋体" w:hAnsi="宋体"/>
                <w:b/>
                <w:bCs/>
                <w:sz w:val="22"/>
                <w:szCs w:val="21"/>
              </w:rPr>
              <w:t xml:space="preserve"> 线路</w:t>
            </w:r>
          </w:p>
        </w:tc>
        <w:tc>
          <w:tcPr>
            <w:tcW w:w="905" w:type="dxa"/>
            <w:shd w:val="clear" w:color="auto" w:fill="D8D8D8" w:themeFill="background1" w:themeFillShade="D9"/>
            <w:vAlign w:val="center"/>
          </w:tcPr>
          <w:p>
            <w:pPr>
              <w:ind w:firstLine="0" w:firstLineChars="0"/>
              <w:rPr>
                <w:rFonts w:ascii="宋体" w:hAnsi="宋体"/>
                <w:b/>
                <w:bCs/>
                <w:sz w:val="22"/>
                <w:szCs w:val="21"/>
              </w:rPr>
            </w:pPr>
            <w:r>
              <w:rPr>
                <w:rFonts w:hint="eastAsia" w:ascii="宋体" w:hAnsi="宋体"/>
                <w:b/>
                <w:bCs/>
                <w:sz w:val="22"/>
                <w:szCs w:val="21"/>
              </w:rPr>
              <w:t xml:space="preserve"> 首站</w:t>
            </w:r>
          </w:p>
        </w:tc>
        <w:tc>
          <w:tcPr>
            <w:tcW w:w="938" w:type="dxa"/>
            <w:shd w:val="clear" w:color="auto" w:fill="D8D8D8" w:themeFill="background1" w:themeFillShade="D9"/>
            <w:vAlign w:val="center"/>
          </w:tcPr>
          <w:p>
            <w:pPr>
              <w:ind w:firstLine="0" w:firstLineChars="0"/>
              <w:rPr>
                <w:rFonts w:ascii="宋体" w:hAnsi="宋体"/>
                <w:b/>
                <w:bCs/>
                <w:sz w:val="22"/>
                <w:szCs w:val="21"/>
              </w:rPr>
            </w:pPr>
            <w:r>
              <w:rPr>
                <w:rFonts w:hint="eastAsia" w:ascii="宋体" w:hAnsi="宋体"/>
                <w:b/>
                <w:bCs/>
                <w:sz w:val="22"/>
                <w:szCs w:val="21"/>
              </w:rPr>
              <w:t xml:space="preserve"> 末站</w:t>
            </w:r>
          </w:p>
        </w:tc>
        <w:tc>
          <w:tcPr>
            <w:tcW w:w="3670" w:type="dxa"/>
            <w:shd w:val="clear" w:color="auto" w:fill="D8D8D8" w:themeFill="background1" w:themeFillShade="D9"/>
            <w:vAlign w:val="center"/>
          </w:tcPr>
          <w:p>
            <w:pPr>
              <w:ind w:firstLine="442"/>
              <w:rPr>
                <w:rFonts w:ascii="宋体" w:hAnsi="宋体"/>
                <w:b/>
                <w:bCs/>
                <w:sz w:val="22"/>
                <w:szCs w:val="21"/>
              </w:rPr>
            </w:pPr>
            <w:r>
              <w:rPr>
                <w:rFonts w:hint="eastAsia" w:ascii="宋体" w:hAnsi="宋体"/>
                <w:b/>
                <w:bCs/>
                <w:sz w:val="22"/>
                <w:szCs w:val="21"/>
              </w:rPr>
              <w:t xml:space="preserve">       线路</w:t>
            </w:r>
            <w:r>
              <w:rPr>
                <w:rFonts w:ascii="宋体" w:hAnsi="宋体"/>
                <w:b/>
                <w:bCs/>
                <w:sz w:val="22"/>
                <w:szCs w:val="21"/>
              </w:rPr>
              <w:t>途经站点</w:t>
            </w:r>
          </w:p>
        </w:tc>
        <w:tc>
          <w:tcPr>
            <w:tcW w:w="1488" w:type="dxa"/>
            <w:shd w:val="clear" w:color="auto" w:fill="D8D8D8" w:themeFill="background1" w:themeFillShade="D9"/>
            <w:vAlign w:val="center"/>
          </w:tcPr>
          <w:p>
            <w:pPr>
              <w:ind w:firstLine="198" w:firstLineChars="90"/>
              <w:rPr>
                <w:rFonts w:ascii="宋体" w:hAnsi="宋体"/>
                <w:b/>
                <w:bCs/>
                <w:sz w:val="22"/>
                <w:szCs w:val="21"/>
              </w:rPr>
            </w:pPr>
            <w:r>
              <w:rPr>
                <w:rFonts w:hint="eastAsia" w:ascii="宋体" w:hAnsi="宋体"/>
                <w:b/>
                <w:bCs/>
                <w:sz w:val="22"/>
                <w:szCs w:val="21"/>
              </w:rPr>
              <w:t xml:space="preserve">  说明</w:t>
            </w:r>
          </w:p>
        </w:tc>
        <w:tc>
          <w:tcPr>
            <w:tcW w:w="1582" w:type="dxa"/>
            <w:shd w:val="clear" w:color="auto" w:fill="D8D8D8" w:themeFill="background1" w:themeFillShade="D9"/>
            <w:vAlign w:val="center"/>
          </w:tcPr>
          <w:p>
            <w:pPr>
              <w:ind w:firstLine="198" w:firstLineChars="90"/>
              <w:rPr>
                <w:rFonts w:ascii="宋体" w:hAnsi="宋体"/>
                <w:b/>
                <w:bCs/>
                <w:sz w:val="22"/>
                <w:szCs w:val="21"/>
              </w:rPr>
            </w:pPr>
            <w:r>
              <w:rPr>
                <w:rFonts w:hint="eastAsia" w:ascii="宋体" w:hAnsi="宋体"/>
                <w:b/>
                <w:bCs/>
                <w:sz w:val="22"/>
                <w:szCs w:val="21"/>
              </w:rPr>
              <w:t xml:space="preserve"> 实施</w:t>
            </w:r>
            <w:r>
              <w:rPr>
                <w:rFonts w:ascii="宋体" w:hAnsi="宋体"/>
                <w:b/>
                <w:bCs/>
                <w:sz w:val="22"/>
                <w:szCs w:val="21"/>
              </w:rPr>
              <w:t>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vAlign w:val="center"/>
          </w:tcPr>
          <w:p>
            <w:pPr>
              <w:ind w:firstLine="198" w:firstLineChars="90"/>
              <w:rPr>
                <w:rFonts w:ascii="宋体" w:hAnsi="宋体"/>
                <w:bCs/>
                <w:sz w:val="22"/>
                <w:szCs w:val="21"/>
              </w:rPr>
            </w:pPr>
            <w:r>
              <w:rPr>
                <w:rFonts w:hint="eastAsia" w:ascii="宋体" w:hAnsi="宋体"/>
                <w:bCs/>
                <w:sz w:val="22"/>
                <w:szCs w:val="21"/>
              </w:rPr>
              <w:t>1路</w:t>
            </w:r>
          </w:p>
          <w:p>
            <w:pPr>
              <w:ind w:firstLine="0" w:firstLineChars="0"/>
              <w:rPr>
                <w:rFonts w:ascii="宋体" w:hAnsi="宋体"/>
                <w:bCs/>
                <w:sz w:val="22"/>
                <w:szCs w:val="21"/>
              </w:rPr>
            </w:pPr>
            <w:r>
              <w:rPr>
                <w:rFonts w:hint="eastAsia" w:ascii="宋体" w:hAnsi="宋体"/>
                <w:bCs/>
                <w:sz w:val="22"/>
                <w:szCs w:val="21"/>
              </w:rPr>
              <w:t>（环线）</w:t>
            </w:r>
          </w:p>
        </w:tc>
        <w:tc>
          <w:tcPr>
            <w:tcW w:w="905" w:type="dxa"/>
            <w:vAlign w:val="center"/>
          </w:tcPr>
          <w:p>
            <w:pPr>
              <w:ind w:firstLine="0" w:firstLineChars="0"/>
              <w:rPr>
                <w:rFonts w:ascii="宋体" w:hAnsi="宋体"/>
                <w:bCs/>
                <w:sz w:val="22"/>
                <w:szCs w:val="21"/>
              </w:rPr>
            </w:pPr>
            <w:r>
              <w:rPr>
                <w:rFonts w:hint="eastAsia" w:ascii="宋体" w:hAnsi="宋体"/>
                <w:bCs/>
                <w:sz w:val="22"/>
                <w:szCs w:val="21"/>
              </w:rPr>
              <w:t>新车站</w:t>
            </w:r>
          </w:p>
        </w:tc>
        <w:tc>
          <w:tcPr>
            <w:tcW w:w="938" w:type="dxa"/>
            <w:vAlign w:val="center"/>
          </w:tcPr>
          <w:p>
            <w:pPr>
              <w:ind w:firstLine="0" w:firstLineChars="0"/>
              <w:rPr>
                <w:rFonts w:ascii="宋体" w:hAnsi="宋体"/>
                <w:bCs/>
                <w:sz w:val="22"/>
                <w:szCs w:val="21"/>
              </w:rPr>
            </w:pPr>
            <w:r>
              <w:rPr>
                <w:rFonts w:ascii="宋体" w:hAnsi="宋体"/>
                <w:bCs/>
                <w:sz w:val="22"/>
                <w:szCs w:val="21"/>
              </w:rPr>
              <w:t>新车站</w:t>
            </w:r>
          </w:p>
        </w:tc>
        <w:tc>
          <w:tcPr>
            <w:tcW w:w="3670"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新车站—消防队—滨江公园-古坊-狮山路口-下城门-象山村-水境佳苑东-水境佳苑西-皇</w:t>
            </w:r>
            <w:r>
              <w:rPr>
                <w:rFonts w:ascii="宋体" w:hAnsi="宋体" w:cs="宋体"/>
                <w:bCs/>
                <w:color w:val="000000"/>
                <w:sz w:val="22"/>
                <w:szCs w:val="21"/>
              </w:rPr>
              <w:t>城大</w:t>
            </w:r>
            <w:r>
              <w:rPr>
                <w:rFonts w:hint="eastAsia" w:ascii="宋体" w:hAnsi="宋体" w:cs="宋体"/>
                <w:bCs/>
                <w:color w:val="000000"/>
                <w:sz w:val="22"/>
                <w:szCs w:val="21"/>
              </w:rPr>
              <w:t>酒店-香菇市场-财税大楼-中山广场-菜市场-房管处-中医院</w:t>
            </w:r>
            <w:r>
              <w:rPr>
                <w:rFonts w:ascii="宋体" w:hAnsi="宋体" w:cs="宋体"/>
                <w:bCs/>
                <w:color w:val="000000"/>
                <w:sz w:val="22"/>
                <w:szCs w:val="21"/>
              </w:rPr>
              <w:t>-</w:t>
            </w:r>
            <w:r>
              <w:rPr>
                <w:rFonts w:hint="eastAsia" w:ascii="宋体" w:hAnsi="宋体" w:cs="宋体"/>
                <w:bCs/>
                <w:color w:val="000000"/>
                <w:sz w:val="22"/>
                <w:szCs w:val="21"/>
              </w:rPr>
              <w:t>凤凰山街道</w:t>
            </w:r>
            <w:r>
              <w:rPr>
                <w:rFonts w:ascii="宋体" w:hAnsi="宋体" w:cs="宋体"/>
                <w:bCs/>
                <w:color w:val="000000"/>
                <w:sz w:val="22"/>
                <w:szCs w:val="21"/>
              </w:rPr>
              <w:t>（</w:t>
            </w:r>
            <w:r>
              <w:rPr>
                <w:rFonts w:hint="eastAsia" w:ascii="宋体" w:hAnsi="宋体" w:cs="宋体"/>
                <w:bCs/>
                <w:color w:val="000000"/>
                <w:sz w:val="22"/>
                <w:szCs w:val="21"/>
              </w:rPr>
              <w:t>县小）-电力大楼-运管局-九鼎实业-朝阳建筑公司-交警大队-上城门-广播转播台-木佬佬公司-城南工业</w:t>
            </w:r>
            <w:r>
              <w:rPr>
                <w:rFonts w:ascii="宋体" w:hAnsi="宋体" w:cs="宋体"/>
                <w:bCs/>
                <w:color w:val="000000"/>
                <w:sz w:val="22"/>
                <w:szCs w:val="21"/>
              </w:rPr>
              <w:t>园-</w:t>
            </w:r>
            <w:r>
              <w:rPr>
                <w:rFonts w:hint="eastAsia" w:ascii="宋体" w:hAnsi="宋体" w:cs="宋体"/>
                <w:bCs/>
                <w:color w:val="000000"/>
                <w:sz w:val="22"/>
                <w:szCs w:val="21"/>
              </w:rPr>
              <w:t>马鞍山</w:t>
            </w:r>
            <w:r>
              <w:rPr>
                <w:rFonts w:ascii="宋体" w:hAnsi="宋体" w:cs="宋体"/>
                <w:bCs/>
                <w:color w:val="000000"/>
                <w:sz w:val="22"/>
                <w:szCs w:val="21"/>
              </w:rPr>
              <w:t>路口-南门大桥</w:t>
            </w:r>
            <w:r>
              <w:rPr>
                <w:rFonts w:hint="eastAsia" w:ascii="宋体" w:hAnsi="宋体" w:cs="宋体"/>
                <w:bCs/>
                <w:color w:val="000000"/>
                <w:sz w:val="22"/>
                <w:szCs w:val="21"/>
              </w:rPr>
              <w:t>-</w:t>
            </w:r>
            <w:r>
              <w:rPr>
                <w:rFonts w:ascii="宋体" w:hAnsi="宋体" w:cs="宋体"/>
                <w:bCs/>
                <w:color w:val="000000"/>
                <w:sz w:val="22"/>
                <w:szCs w:val="21"/>
              </w:rPr>
              <w:t>元和广场-体育馆-广和南山公寓</w:t>
            </w:r>
            <w:r>
              <w:rPr>
                <w:rFonts w:hint="eastAsia" w:ascii="宋体" w:hAnsi="宋体" w:cs="宋体"/>
                <w:bCs/>
                <w:color w:val="000000"/>
                <w:sz w:val="22"/>
                <w:szCs w:val="21"/>
              </w:rPr>
              <w:t>-新</w:t>
            </w:r>
            <w:r>
              <w:rPr>
                <w:rFonts w:ascii="宋体" w:hAnsi="宋体" w:cs="宋体"/>
                <w:bCs/>
                <w:color w:val="000000"/>
                <w:sz w:val="22"/>
                <w:szCs w:val="21"/>
              </w:rPr>
              <w:t>车站</w:t>
            </w:r>
          </w:p>
        </w:tc>
        <w:tc>
          <w:tcPr>
            <w:tcW w:w="1488" w:type="dxa"/>
            <w:vAlign w:val="center"/>
          </w:tcPr>
          <w:p>
            <w:pPr>
              <w:ind w:firstLine="0" w:firstLineChars="0"/>
              <w:rPr>
                <w:rFonts w:ascii="宋体" w:hAnsi="宋体"/>
                <w:bCs/>
                <w:sz w:val="22"/>
                <w:szCs w:val="21"/>
              </w:rPr>
            </w:pPr>
            <w:r>
              <w:rPr>
                <w:rFonts w:hint="eastAsia" w:ascii="宋体" w:hAnsi="宋体"/>
                <w:bCs/>
                <w:sz w:val="22"/>
                <w:szCs w:val="21"/>
              </w:rPr>
              <w:t>实现</w:t>
            </w:r>
            <w:r>
              <w:rPr>
                <w:rFonts w:ascii="宋体" w:hAnsi="宋体"/>
                <w:bCs/>
                <w:sz w:val="22"/>
                <w:szCs w:val="21"/>
              </w:rPr>
              <w:t>与</w:t>
            </w:r>
            <w:r>
              <w:rPr>
                <w:rFonts w:hint="eastAsia" w:ascii="宋体" w:hAnsi="宋体"/>
                <w:bCs/>
                <w:sz w:val="22"/>
                <w:szCs w:val="21"/>
              </w:rPr>
              <w:t>2、</w:t>
            </w:r>
            <w:r>
              <w:rPr>
                <w:rFonts w:ascii="宋体" w:hAnsi="宋体"/>
                <w:bCs/>
                <w:sz w:val="22"/>
                <w:szCs w:val="21"/>
              </w:rPr>
              <w:t>3</w:t>
            </w:r>
            <w:r>
              <w:rPr>
                <w:rFonts w:hint="eastAsia" w:ascii="宋体" w:hAnsi="宋体"/>
                <w:bCs/>
                <w:sz w:val="22"/>
                <w:szCs w:val="21"/>
              </w:rPr>
              <w:t>、</w:t>
            </w:r>
            <w:r>
              <w:rPr>
                <w:rFonts w:ascii="宋体" w:hAnsi="宋体"/>
                <w:bCs/>
                <w:sz w:val="22"/>
                <w:szCs w:val="21"/>
              </w:rPr>
              <w:t>4</w:t>
            </w:r>
            <w:r>
              <w:rPr>
                <w:rFonts w:hint="eastAsia" w:ascii="宋体" w:hAnsi="宋体"/>
                <w:bCs/>
                <w:sz w:val="22"/>
                <w:szCs w:val="21"/>
              </w:rPr>
              <w:t>、</w:t>
            </w:r>
            <w:r>
              <w:rPr>
                <w:rFonts w:ascii="宋体" w:hAnsi="宋体"/>
                <w:bCs/>
                <w:sz w:val="22"/>
                <w:szCs w:val="21"/>
              </w:rPr>
              <w:t>5路线的无缝衔接换乘</w:t>
            </w:r>
          </w:p>
        </w:tc>
        <w:tc>
          <w:tcPr>
            <w:tcW w:w="1582" w:type="dxa"/>
            <w:vAlign w:val="center"/>
          </w:tcPr>
          <w:p>
            <w:pPr>
              <w:ind w:firstLine="198" w:firstLineChars="90"/>
              <w:rPr>
                <w:rFonts w:ascii="宋体" w:hAnsi="宋体"/>
                <w:bCs/>
                <w:sz w:val="22"/>
                <w:szCs w:val="21"/>
              </w:rPr>
            </w:pPr>
            <w:r>
              <w:rPr>
                <w:rFonts w:ascii="宋体" w:hAnsi="宋体"/>
                <w:bCs/>
                <w:sz w:val="22"/>
                <w:szCs w:val="21"/>
              </w:rPr>
              <w:t>2016</w:t>
            </w:r>
            <w:r>
              <w:rPr>
                <w:rFonts w:hint="eastAsia" w:ascii="宋体" w:hAnsi="宋体"/>
                <w:bCs/>
                <w:sz w:val="22"/>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vAlign w:val="center"/>
          </w:tcPr>
          <w:p>
            <w:pPr>
              <w:ind w:firstLine="198" w:firstLineChars="90"/>
              <w:rPr>
                <w:rFonts w:ascii="宋体" w:hAnsi="宋体"/>
                <w:bCs/>
                <w:sz w:val="22"/>
                <w:szCs w:val="21"/>
              </w:rPr>
            </w:pPr>
            <w:r>
              <w:rPr>
                <w:rFonts w:hint="eastAsia" w:ascii="宋体" w:hAnsi="宋体"/>
                <w:bCs/>
                <w:sz w:val="22"/>
                <w:szCs w:val="21"/>
              </w:rPr>
              <w:t>2路</w:t>
            </w:r>
          </w:p>
          <w:p>
            <w:pPr>
              <w:ind w:firstLine="0" w:firstLineChars="0"/>
              <w:rPr>
                <w:rFonts w:ascii="宋体" w:hAnsi="宋体"/>
                <w:bCs/>
                <w:sz w:val="22"/>
                <w:szCs w:val="21"/>
              </w:rPr>
            </w:pPr>
            <w:r>
              <w:rPr>
                <w:rFonts w:hint="eastAsia" w:ascii="宋体" w:hAnsi="宋体"/>
                <w:bCs/>
                <w:sz w:val="22"/>
                <w:szCs w:val="21"/>
              </w:rPr>
              <w:t>（上下行）</w:t>
            </w:r>
          </w:p>
        </w:tc>
        <w:tc>
          <w:tcPr>
            <w:tcW w:w="905" w:type="dxa"/>
            <w:vAlign w:val="center"/>
          </w:tcPr>
          <w:p>
            <w:pPr>
              <w:ind w:firstLine="0" w:firstLineChars="0"/>
              <w:jc w:val="center"/>
              <w:rPr>
                <w:rFonts w:ascii="宋体" w:hAnsi="宋体"/>
                <w:bCs/>
                <w:sz w:val="22"/>
                <w:szCs w:val="21"/>
              </w:rPr>
            </w:pPr>
            <w:r>
              <w:rPr>
                <w:rFonts w:hint="eastAsia" w:ascii="宋体" w:hAnsi="宋体" w:cs="宋体"/>
                <w:bCs/>
                <w:color w:val="000000"/>
                <w:sz w:val="22"/>
                <w:szCs w:val="21"/>
              </w:rPr>
              <w:t>新人民医院</w:t>
            </w:r>
          </w:p>
        </w:tc>
        <w:tc>
          <w:tcPr>
            <w:tcW w:w="938"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农民</w:t>
            </w:r>
          </w:p>
          <w:p>
            <w:pPr>
              <w:ind w:firstLine="0" w:firstLineChars="0"/>
              <w:rPr>
                <w:rFonts w:ascii="宋体" w:hAnsi="宋体"/>
                <w:bCs/>
                <w:sz w:val="22"/>
                <w:szCs w:val="21"/>
              </w:rPr>
            </w:pPr>
            <w:r>
              <w:rPr>
                <w:rFonts w:hint="eastAsia" w:ascii="宋体" w:hAnsi="宋体" w:cs="宋体"/>
                <w:bCs/>
                <w:color w:val="000000"/>
                <w:sz w:val="22"/>
                <w:szCs w:val="21"/>
              </w:rPr>
              <w:t>公寓</w:t>
            </w:r>
          </w:p>
        </w:tc>
        <w:tc>
          <w:tcPr>
            <w:tcW w:w="3670"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新人民医院-云和三中-新车站-云和湖大酒店-同心花园-青阳门社区-老检察院-县政府-社保处-老年公园-建设局-中山路口-中医院-凤凰山街道</w:t>
            </w:r>
            <w:r>
              <w:rPr>
                <w:rFonts w:ascii="宋体" w:hAnsi="宋体" w:cs="宋体"/>
                <w:bCs/>
                <w:color w:val="000000"/>
                <w:sz w:val="22"/>
                <w:szCs w:val="21"/>
              </w:rPr>
              <w:t>（</w:t>
            </w:r>
            <w:r>
              <w:rPr>
                <w:rFonts w:hint="eastAsia" w:ascii="宋体" w:hAnsi="宋体" w:cs="宋体"/>
                <w:bCs/>
                <w:color w:val="000000"/>
                <w:sz w:val="22"/>
                <w:szCs w:val="21"/>
              </w:rPr>
              <w:t>县小）-云和二中-凤凰山村-农民公寓</w:t>
            </w:r>
          </w:p>
        </w:tc>
        <w:tc>
          <w:tcPr>
            <w:tcW w:w="1488" w:type="dxa"/>
            <w:vAlign w:val="center"/>
          </w:tcPr>
          <w:p>
            <w:pPr>
              <w:ind w:firstLine="0" w:firstLineChars="0"/>
              <w:rPr>
                <w:rFonts w:ascii="宋体" w:hAnsi="宋体"/>
                <w:bCs/>
                <w:sz w:val="22"/>
                <w:szCs w:val="21"/>
              </w:rPr>
            </w:pPr>
            <w:r>
              <w:rPr>
                <w:rFonts w:hint="eastAsia" w:ascii="宋体" w:hAnsi="宋体"/>
                <w:bCs/>
                <w:sz w:val="22"/>
                <w:szCs w:val="21"/>
              </w:rPr>
              <w:t>实现</w:t>
            </w:r>
            <w:r>
              <w:rPr>
                <w:rFonts w:ascii="宋体" w:hAnsi="宋体"/>
                <w:bCs/>
                <w:sz w:val="22"/>
                <w:szCs w:val="21"/>
              </w:rPr>
              <w:t>与1</w:t>
            </w:r>
            <w:r>
              <w:rPr>
                <w:rFonts w:hint="eastAsia" w:ascii="宋体" w:hAnsi="宋体"/>
                <w:bCs/>
                <w:sz w:val="22"/>
                <w:szCs w:val="21"/>
              </w:rPr>
              <w:t>、</w:t>
            </w:r>
            <w:r>
              <w:rPr>
                <w:rFonts w:ascii="宋体" w:hAnsi="宋体"/>
                <w:bCs/>
                <w:sz w:val="22"/>
                <w:szCs w:val="21"/>
              </w:rPr>
              <w:t>3</w:t>
            </w:r>
            <w:r>
              <w:rPr>
                <w:rFonts w:hint="eastAsia" w:ascii="宋体" w:hAnsi="宋体"/>
                <w:bCs/>
                <w:sz w:val="22"/>
                <w:szCs w:val="21"/>
              </w:rPr>
              <w:t>、</w:t>
            </w:r>
            <w:r>
              <w:rPr>
                <w:rFonts w:ascii="宋体" w:hAnsi="宋体"/>
                <w:bCs/>
                <w:sz w:val="22"/>
                <w:szCs w:val="21"/>
              </w:rPr>
              <w:t>4</w:t>
            </w:r>
            <w:r>
              <w:rPr>
                <w:rFonts w:hint="eastAsia" w:ascii="宋体" w:hAnsi="宋体"/>
                <w:bCs/>
                <w:sz w:val="22"/>
                <w:szCs w:val="21"/>
              </w:rPr>
              <w:t>、</w:t>
            </w:r>
            <w:r>
              <w:rPr>
                <w:rFonts w:ascii="宋体" w:hAnsi="宋体"/>
                <w:bCs/>
                <w:sz w:val="22"/>
                <w:szCs w:val="21"/>
              </w:rPr>
              <w:t>5路线的无缝衔接换乘</w:t>
            </w:r>
          </w:p>
        </w:tc>
        <w:tc>
          <w:tcPr>
            <w:tcW w:w="1582" w:type="dxa"/>
            <w:vAlign w:val="center"/>
          </w:tcPr>
          <w:p>
            <w:pPr>
              <w:ind w:firstLine="0" w:firstLineChars="0"/>
              <w:rPr>
                <w:rFonts w:ascii="宋体" w:hAnsi="宋体"/>
                <w:bCs/>
                <w:sz w:val="22"/>
                <w:szCs w:val="21"/>
              </w:rPr>
            </w:pPr>
            <w:r>
              <w:rPr>
                <w:rFonts w:ascii="宋体" w:hAnsi="宋体"/>
                <w:bCs/>
                <w:sz w:val="22"/>
                <w:szCs w:val="21"/>
              </w:rPr>
              <w:t>2016-2017</w:t>
            </w:r>
            <w:r>
              <w:rPr>
                <w:rFonts w:hint="eastAsia" w:ascii="宋体" w:hAnsi="宋体"/>
                <w:bCs/>
                <w:sz w:val="22"/>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4" w:type="dxa"/>
            <w:vAlign w:val="center"/>
          </w:tcPr>
          <w:p>
            <w:pPr>
              <w:ind w:firstLine="198" w:firstLineChars="90"/>
              <w:rPr>
                <w:rFonts w:ascii="宋体" w:hAnsi="宋体"/>
                <w:bCs/>
                <w:sz w:val="22"/>
                <w:szCs w:val="21"/>
              </w:rPr>
            </w:pPr>
            <w:r>
              <w:rPr>
                <w:rFonts w:hint="eastAsia" w:ascii="宋体" w:hAnsi="宋体"/>
                <w:bCs/>
                <w:sz w:val="22"/>
                <w:szCs w:val="21"/>
              </w:rPr>
              <w:t>3路</w:t>
            </w:r>
          </w:p>
          <w:p>
            <w:pPr>
              <w:ind w:firstLine="0" w:firstLineChars="0"/>
              <w:rPr>
                <w:rFonts w:ascii="宋体" w:hAnsi="宋体"/>
                <w:bCs/>
                <w:sz w:val="22"/>
                <w:szCs w:val="21"/>
              </w:rPr>
            </w:pPr>
            <w:r>
              <w:rPr>
                <w:rFonts w:hint="eastAsia" w:ascii="宋体" w:hAnsi="宋体"/>
                <w:bCs/>
                <w:sz w:val="22"/>
                <w:szCs w:val="21"/>
              </w:rPr>
              <w:t>（上下行）</w:t>
            </w:r>
          </w:p>
        </w:tc>
        <w:tc>
          <w:tcPr>
            <w:tcW w:w="905"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物流城</w:t>
            </w:r>
          </w:p>
        </w:tc>
        <w:tc>
          <w:tcPr>
            <w:tcW w:w="938"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新建</w:t>
            </w:r>
          </w:p>
          <w:p>
            <w:pPr>
              <w:ind w:firstLine="0" w:firstLineChars="0"/>
              <w:rPr>
                <w:rFonts w:ascii="宋体" w:hAnsi="宋体" w:cs="宋体"/>
                <w:bCs/>
                <w:color w:val="000000"/>
                <w:sz w:val="22"/>
                <w:szCs w:val="21"/>
              </w:rPr>
            </w:pPr>
            <w:r>
              <w:rPr>
                <w:rFonts w:hint="eastAsia" w:ascii="宋体" w:hAnsi="宋体" w:cs="宋体"/>
                <w:bCs/>
                <w:color w:val="000000"/>
                <w:sz w:val="22"/>
                <w:szCs w:val="21"/>
              </w:rPr>
              <w:t>南路</w:t>
            </w:r>
          </w:p>
        </w:tc>
        <w:tc>
          <w:tcPr>
            <w:tcW w:w="3670"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物流城-白洋墩村-滨江公园-消防队-新车站-交通运输局-前巷小区-中山广场西-县公安局-城北路口-老年公园-鲤鱼山小区-华联超市-信用联社-南苑</w:t>
            </w:r>
            <w:r>
              <w:rPr>
                <w:rFonts w:ascii="宋体" w:hAnsi="宋体" w:cs="宋体"/>
                <w:bCs/>
                <w:color w:val="000000"/>
                <w:sz w:val="22"/>
                <w:szCs w:val="21"/>
              </w:rPr>
              <w:t>小区</w:t>
            </w:r>
            <w:r>
              <w:rPr>
                <w:rFonts w:hint="eastAsia" w:ascii="宋体" w:hAnsi="宋体" w:cs="宋体"/>
                <w:bCs/>
                <w:color w:val="000000"/>
                <w:sz w:val="22"/>
                <w:szCs w:val="21"/>
              </w:rPr>
              <w:t>-文化中心-气象局-云和中学-黄水碓村-新建南路</w:t>
            </w:r>
          </w:p>
        </w:tc>
        <w:tc>
          <w:tcPr>
            <w:tcW w:w="1488" w:type="dxa"/>
            <w:vAlign w:val="center"/>
          </w:tcPr>
          <w:p>
            <w:pPr>
              <w:ind w:firstLine="0" w:firstLineChars="0"/>
              <w:rPr>
                <w:rFonts w:ascii="宋体" w:hAnsi="宋体"/>
                <w:bCs/>
                <w:sz w:val="22"/>
                <w:szCs w:val="21"/>
              </w:rPr>
            </w:pPr>
            <w:r>
              <w:rPr>
                <w:rFonts w:hint="eastAsia" w:ascii="宋体" w:hAnsi="宋体"/>
                <w:bCs/>
                <w:sz w:val="22"/>
                <w:szCs w:val="21"/>
              </w:rPr>
              <w:t>3支1路</w:t>
            </w:r>
            <w:r>
              <w:rPr>
                <w:rFonts w:ascii="宋体" w:hAnsi="宋体"/>
                <w:bCs/>
                <w:sz w:val="22"/>
                <w:szCs w:val="21"/>
              </w:rPr>
              <w:t>由</w:t>
            </w:r>
            <w:r>
              <w:rPr>
                <w:rFonts w:hint="eastAsia" w:ascii="宋体" w:hAnsi="宋体"/>
                <w:bCs/>
                <w:sz w:val="22"/>
                <w:szCs w:val="21"/>
              </w:rPr>
              <w:t>新建</w:t>
            </w:r>
            <w:r>
              <w:rPr>
                <w:rFonts w:ascii="宋体" w:hAnsi="宋体"/>
                <w:bCs/>
                <w:sz w:val="22"/>
                <w:szCs w:val="21"/>
              </w:rPr>
              <w:t>南路延伸至</w:t>
            </w:r>
            <w:r>
              <w:rPr>
                <w:rFonts w:hint="eastAsia" w:ascii="宋体" w:hAnsi="宋体"/>
                <w:bCs/>
                <w:sz w:val="22"/>
                <w:szCs w:val="21"/>
              </w:rPr>
              <w:t>大坪</w:t>
            </w:r>
            <w:r>
              <w:rPr>
                <w:rFonts w:ascii="宋体" w:hAnsi="宋体"/>
                <w:bCs/>
                <w:sz w:val="22"/>
                <w:szCs w:val="21"/>
              </w:rPr>
              <w:t>村</w:t>
            </w:r>
            <w:r>
              <w:rPr>
                <w:rFonts w:hint="eastAsia" w:ascii="宋体" w:hAnsi="宋体"/>
                <w:bCs/>
                <w:sz w:val="22"/>
                <w:szCs w:val="21"/>
              </w:rPr>
              <w:t>；3支</w:t>
            </w:r>
            <w:r>
              <w:rPr>
                <w:rFonts w:ascii="宋体" w:hAnsi="宋体"/>
                <w:bCs/>
                <w:sz w:val="22"/>
                <w:szCs w:val="21"/>
              </w:rPr>
              <w:t>2</w:t>
            </w:r>
            <w:r>
              <w:rPr>
                <w:rFonts w:hint="eastAsia" w:ascii="宋体" w:hAnsi="宋体"/>
                <w:bCs/>
                <w:sz w:val="22"/>
                <w:szCs w:val="21"/>
              </w:rPr>
              <w:t>路</w:t>
            </w:r>
            <w:r>
              <w:rPr>
                <w:rFonts w:ascii="宋体" w:hAnsi="宋体"/>
                <w:bCs/>
                <w:sz w:val="22"/>
                <w:szCs w:val="21"/>
              </w:rPr>
              <w:t>由</w:t>
            </w:r>
            <w:r>
              <w:rPr>
                <w:rFonts w:hint="eastAsia" w:ascii="宋体" w:hAnsi="宋体"/>
                <w:bCs/>
                <w:sz w:val="22"/>
                <w:szCs w:val="21"/>
              </w:rPr>
              <w:t>新建</w:t>
            </w:r>
            <w:r>
              <w:rPr>
                <w:rFonts w:ascii="宋体" w:hAnsi="宋体"/>
                <w:bCs/>
                <w:sz w:val="22"/>
                <w:szCs w:val="21"/>
              </w:rPr>
              <w:t>南路延伸至</w:t>
            </w:r>
            <w:r>
              <w:rPr>
                <w:rFonts w:hint="eastAsia" w:ascii="宋体" w:hAnsi="宋体"/>
                <w:bCs/>
                <w:sz w:val="22"/>
                <w:szCs w:val="21"/>
              </w:rPr>
              <w:t>程</w:t>
            </w:r>
            <w:r>
              <w:rPr>
                <w:rFonts w:ascii="宋体" w:hAnsi="宋体"/>
                <w:bCs/>
                <w:sz w:val="22"/>
                <w:szCs w:val="21"/>
              </w:rPr>
              <w:t>宅村。</w:t>
            </w:r>
          </w:p>
        </w:tc>
        <w:tc>
          <w:tcPr>
            <w:tcW w:w="1582" w:type="dxa"/>
            <w:vAlign w:val="center"/>
          </w:tcPr>
          <w:p>
            <w:pPr>
              <w:ind w:firstLine="0" w:firstLineChars="0"/>
              <w:rPr>
                <w:rFonts w:ascii="宋体" w:hAnsi="宋体"/>
                <w:bCs/>
                <w:sz w:val="22"/>
                <w:szCs w:val="21"/>
              </w:rPr>
            </w:pPr>
            <w:r>
              <w:rPr>
                <w:rFonts w:hint="eastAsia" w:ascii="宋体" w:hAnsi="宋体"/>
                <w:bCs/>
                <w:sz w:val="22"/>
                <w:szCs w:val="21"/>
              </w:rPr>
              <w:t>201</w:t>
            </w:r>
            <w:r>
              <w:rPr>
                <w:rFonts w:ascii="宋体" w:hAnsi="宋体"/>
                <w:bCs/>
                <w:sz w:val="22"/>
                <w:szCs w:val="21"/>
              </w:rPr>
              <w:t>9-2020</w:t>
            </w:r>
            <w:r>
              <w:rPr>
                <w:rFonts w:hint="eastAsia" w:ascii="宋体" w:hAnsi="宋体"/>
                <w:bCs/>
                <w:sz w:val="22"/>
                <w:szCs w:val="21"/>
              </w:rPr>
              <w:t>年</w:t>
            </w:r>
          </w:p>
          <w:p>
            <w:pPr>
              <w:ind w:firstLine="0" w:firstLineChars="0"/>
              <w:rPr>
                <w:rFonts w:ascii="宋体" w:hAnsi="宋体"/>
                <w:bCs/>
                <w:sz w:val="22"/>
                <w:szCs w:val="21"/>
              </w:rPr>
            </w:pPr>
            <w:r>
              <w:rPr>
                <w:rFonts w:hint="eastAsia" w:ascii="宋体" w:hAnsi="宋体"/>
                <w:bCs/>
                <w:sz w:val="22"/>
                <w:szCs w:val="21"/>
              </w:rPr>
              <w:t>（具体根据周边道路交通基础设施建设情况而定）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4" w:type="dxa"/>
            <w:vAlign w:val="center"/>
          </w:tcPr>
          <w:p>
            <w:pPr>
              <w:ind w:firstLine="198" w:firstLineChars="90"/>
              <w:rPr>
                <w:rFonts w:ascii="宋体" w:hAnsi="宋体"/>
                <w:bCs/>
                <w:sz w:val="22"/>
                <w:szCs w:val="21"/>
              </w:rPr>
            </w:pPr>
            <w:r>
              <w:rPr>
                <w:rFonts w:hint="eastAsia" w:ascii="宋体" w:hAnsi="宋体"/>
                <w:bCs/>
                <w:sz w:val="22"/>
                <w:szCs w:val="21"/>
              </w:rPr>
              <w:t>4路</w:t>
            </w:r>
          </w:p>
          <w:p>
            <w:pPr>
              <w:ind w:firstLine="0" w:firstLineChars="0"/>
              <w:rPr>
                <w:rFonts w:ascii="宋体" w:hAnsi="宋体"/>
                <w:bCs/>
                <w:sz w:val="22"/>
                <w:szCs w:val="21"/>
              </w:rPr>
            </w:pPr>
            <w:r>
              <w:rPr>
                <w:rFonts w:hint="eastAsia" w:ascii="宋体" w:hAnsi="宋体"/>
                <w:bCs/>
                <w:sz w:val="22"/>
                <w:szCs w:val="21"/>
              </w:rPr>
              <w:t>（</w:t>
            </w:r>
            <w:r>
              <w:rPr>
                <w:rFonts w:ascii="宋体" w:hAnsi="宋体"/>
                <w:bCs/>
                <w:sz w:val="22"/>
                <w:szCs w:val="21"/>
              </w:rPr>
              <w:t>环线</w:t>
            </w:r>
            <w:r>
              <w:rPr>
                <w:rFonts w:hint="eastAsia" w:ascii="宋体" w:hAnsi="宋体"/>
                <w:bCs/>
                <w:sz w:val="22"/>
                <w:szCs w:val="21"/>
              </w:rPr>
              <w:t>）</w:t>
            </w:r>
          </w:p>
        </w:tc>
        <w:tc>
          <w:tcPr>
            <w:tcW w:w="905"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w:t>
            </w:r>
          </w:p>
          <w:p>
            <w:pPr>
              <w:ind w:firstLine="0" w:firstLineChars="0"/>
              <w:rPr>
                <w:rFonts w:ascii="宋体" w:hAnsi="宋体" w:cs="宋体"/>
                <w:bCs/>
                <w:color w:val="000000"/>
                <w:sz w:val="22"/>
                <w:szCs w:val="21"/>
              </w:rPr>
            </w:pPr>
            <w:r>
              <w:rPr>
                <w:rFonts w:hint="eastAsia" w:ascii="宋体" w:hAnsi="宋体" w:cs="宋体"/>
                <w:bCs/>
                <w:color w:val="000000"/>
                <w:sz w:val="22"/>
                <w:szCs w:val="21"/>
              </w:rPr>
              <w:t>乐园</w:t>
            </w:r>
          </w:p>
        </w:tc>
        <w:tc>
          <w:tcPr>
            <w:tcW w:w="938"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w:t>
            </w:r>
          </w:p>
          <w:p>
            <w:pPr>
              <w:ind w:firstLine="0" w:firstLineChars="0"/>
              <w:rPr>
                <w:rFonts w:ascii="宋体" w:hAnsi="宋体" w:cs="宋体"/>
                <w:bCs/>
                <w:color w:val="000000"/>
                <w:sz w:val="22"/>
                <w:szCs w:val="21"/>
              </w:rPr>
            </w:pPr>
            <w:r>
              <w:rPr>
                <w:rFonts w:hint="eastAsia" w:ascii="宋体" w:hAnsi="宋体" w:cs="宋体"/>
                <w:bCs/>
                <w:color w:val="000000"/>
                <w:sz w:val="22"/>
                <w:szCs w:val="21"/>
              </w:rPr>
              <w:t>乐园</w:t>
            </w:r>
          </w:p>
        </w:tc>
        <w:tc>
          <w:tcPr>
            <w:tcW w:w="3670"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木玩乐园-城西路口-和信路口-云雾路口-后山路口-上城门-交警大队-朝阳建筑公司-九鼎实业-运管局-电力大楼</w:t>
            </w:r>
            <w:r>
              <w:rPr>
                <w:rFonts w:ascii="宋体" w:hAnsi="宋体" w:cs="宋体"/>
                <w:bCs/>
                <w:color w:val="000000"/>
                <w:sz w:val="22"/>
                <w:szCs w:val="21"/>
              </w:rPr>
              <w:t>-</w:t>
            </w:r>
            <w:r>
              <w:rPr>
                <w:rFonts w:hint="eastAsia" w:ascii="宋体" w:hAnsi="宋体" w:cs="宋体"/>
                <w:bCs/>
                <w:color w:val="000000"/>
                <w:sz w:val="22"/>
                <w:szCs w:val="21"/>
              </w:rPr>
              <w:t>凤凰山街道</w:t>
            </w:r>
            <w:r>
              <w:rPr>
                <w:rFonts w:ascii="宋体" w:hAnsi="宋体" w:cs="宋体"/>
                <w:bCs/>
                <w:color w:val="000000"/>
                <w:sz w:val="22"/>
                <w:szCs w:val="21"/>
              </w:rPr>
              <w:t>（</w:t>
            </w:r>
            <w:r>
              <w:rPr>
                <w:rFonts w:hint="eastAsia" w:ascii="宋体" w:hAnsi="宋体" w:cs="宋体"/>
                <w:bCs/>
                <w:color w:val="000000"/>
                <w:sz w:val="22"/>
                <w:szCs w:val="21"/>
              </w:rPr>
              <w:t>县小）-中医院-信用联社-南苑</w:t>
            </w:r>
            <w:r>
              <w:rPr>
                <w:rFonts w:ascii="宋体" w:hAnsi="宋体" w:cs="宋体"/>
                <w:bCs/>
                <w:color w:val="000000"/>
                <w:sz w:val="22"/>
                <w:szCs w:val="21"/>
              </w:rPr>
              <w:t>小区-南门大桥</w:t>
            </w:r>
            <w:r>
              <w:rPr>
                <w:rFonts w:hint="eastAsia" w:ascii="宋体" w:hAnsi="宋体" w:cs="宋体"/>
                <w:bCs/>
                <w:color w:val="000000"/>
                <w:sz w:val="22"/>
                <w:szCs w:val="21"/>
              </w:rPr>
              <w:t>-木玩乐园</w:t>
            </w:r>
          </w:p>
        </w:tc>
        <w:tc>
          <w:tcPr>
            <w:tcW w:w="1488" w:type="dxa"/>
            <w:vAlign w:val="center"/>
          </w:tcPr>
          <w:p>
            <w:pPr>
              <w:ind w:firstLine="0" w:firstLineChars="0"/>
              <w:rPr>
                <w:rFonts w:ascii="宋体" w:hAnsi="宋体"/>
                <w:bCs/>
                <w:sz w:val="22"/>
                <w:szCs w:val="21"/>
              </w:rPr>
            </w:pPr>
            <w:r>
              <w:rPr>
                <w:rFonts w:hint="eastAsia" w:ascii="宋体" w:hAnsi="宋体"/>
                <w:bCs/>
                <w:sz w:val="22"/>
                <w:szCs w:val="21"/>
              </w:rPr>
              <w:t>调整</w:t>
            </w:r>
            <w:r>
              <w:rPr>
                <w:rFonts w:ascii="宋体" w:hAnsi="宋体"/>
                <w:bCs/>
                <w:sz w:val="22"/>
                <w:szCs w:val="21"/>
              </w:rPr>
              <w:t>为环线，</w:t>
            </w:r>
            <w:r>
              <w:rPr>
                <w:rFonts w:hint="eastAsia" w:ascii="宋体" w:hAnsi="宋体"/>
                <w:bCs/>
                <w:sz w:val="22"/>
                <w:szCs w:val="21"/>
              </w:rPr>
              <w:t>实现</w:t>
            </w:r>
            <w:r>
              <w:rPr>
                <w:rFonts w:ascii="宋体" w:hAnsi="宋体"/>
                <w:bCs/>
                <w:sz w:val="22"/>
                <w:szCs w:val="21"/>
              </w:rPr>
              <w:t>与</w:t>
            </w:r>
            <w:r>
              <w:rPr>
                <w:rFonts w:hint="eastAsia" w:ascii="宋体" w:hAnsi="宋体"/>
                <w:bCs/>
                <w:sz w:val="22"/>
                <w:szCs w:val="21"/>
              </w:rPr>
              <w:t>1、</w:t>
            </w:r>
            <w:r>
              <w:rPr>
                <w:rFonts w:ascii="宋体" w:hAnsi="宋体"/>
                <w:bCs/>
                <w:sz w:val="22"/>
                <w:szCs w:val="21"/>
              </w:rPr>
              <w:t>2</w:t>
            </w:r>
            <w:r>
              <w:rPr>
                <w:rFonts w:hint="eastAsia" w:ascii="宋体" w:hAnsi="宋体"/>
                <w:bCs/>
                <w:sz w:val="22"/>
                <w:szCs w:val="21"/>
              </w:rPr>
              <w:t>、</w:t>
            </w:r>
            <w:r>
              <w:rPr>
                <w:rFonts w:ascii="宋体" w:hAnsi="宋体"/>
                <w:bCs/>
                <w:sz w:val="22"/>
                <w:szCs w:val="21"/>
              </w:rPr>
              <w:t>3路车的衔接换乘。</w:t>
            </w:r>
          </w:p>
        </w:tc>
        <w:tc>
          <w:tcPr>
            <w:tcW w:w="1582" w:type="dxa"/>
            <w:vAlign w:val="center"/>
          </w:tcPr>
          <w:p>
            <w:pPr>
              <w:ind w:firstLine="0" w:firstLineChars="0"/>
              <w:rPr>
                <w:rFonts w:ascii="宋体" w:hAnsi="宋体"/>
                <w:bCs/>
                <w:sz w:val="22"/>
                <w:szCs w:val="21"/>
              </w:rPr>
            </w:pPr>
            <w:r>
              <w:rPr>
                <w:rFonts w:hint="eastAsia" w:ascii="宋体" w:hAnsi="宋体"/>
                <w:bCs/>
                <w:sz w:val="22"/>
                <w:szCs w:val="21"/>
              </w:rPr>
              <w:t xml:space="preserve"> 2017</w:t>
            </w:r>
            <w:r>
              <w:rPr>
                <w:rFonts w:ascii="宋体" w:hAnsi="宋体"/>
                <w:bCs/>
                <w:sz w:val="22"/>
                <w:szCs w:val="21"/>
              </w:rPr>
              <w:t>-2018</w:t>
            </w:r>
            <w:r>
              <w:rPr>
                <w:rFonts w:hint="eastAsia" w:ascii="宋体" w:hAnsi="宋体"/>
                <w:bCs/>
                <w:sz w:val="22"/>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4" w:hRule="atLeast"/>
          <w:jc w:val="center"/>
        </w:trPr>
        <w:tc>
          <w:tcPr>
            <w:tcW w:w="1274" w:type="dxa"/>
            <w:vAlign w:val="center"/>
          </w:tcPr>
          <w:p>
            <w:pPr>
              <w:ind w:firstLine="198" w:firstLineChars="90"/>
              <w:rPr>
                <w:rFonts w:ascii="宋体" w:hAnsi="宋体"/>
                <w:bCs/>
                <w:sz w:val="22"/>
                <w:szCs w:val="21"/>
              </w:rPr>
            </w:pPr>
            <w:r>
              <w:rPr>
                <w:rFonts w:hint="eastAsia" w:ascii="宋体" w:hAnsi="宋体"/>
                <w:bCs/>
                <w:sz w:val="22"/>
                <w:szCs w:val="21"/>
              </w:rPr>
              <w:t>5</w:t>
            </w:r>
            <w:r>
              <w:rPr>
                <w:rFonts w:ascii="宋体" w:hAnsi="宋体"/>
                <w:bCs/>
                <w:sz w:val="22"/>
                <w:szCs w:val="21"/>
              </w:rPr>
              <w:t>路</w:t>
            </w:r>
          </w:p>
          <w:p>
            <w:pPr>
              <w:ind w:firstLine="0" w:firstLineChars="0"/>
              <w:rPr>
                <w:rFonts w:ascii="宋体" w:hAnsi="宋体"/>
                <w:bCs/>
                <w:sz w:val="22"/>
                <w:szCs w:val="21"/>
              </w:rPr>
            </w:pPr>
            <w:r>
              <w:rPr>
                <w:rFonts w:ascii="宋体" w:hAnsi="宋体"/>
                <w:bCs/>
                <w:sz w:val="22"/>
                <w:szCs w:val="21"/>
              </w:rPr>
              <w:t>（环线</w:t>
            </w:r>
            <w:r>
              <w:rPr>
                <w:rFonts w:hint="eastAsia" w:ascii="宋体" w:hAnsi="宋体"/>
                <w:bCs/>
                <w:sz w:val="22"/>
                <w:szCs w:val="21"/>
              </w:rPr>
              <w:t>）</w:t>
            </w:r>
          </w:p>
        </w:tc>
        <w:tc>
          <w:tcPr>
            <w:tcW w:w="905"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w:t>
            </w:r>
          </w:p>
          <w:p>
            <w:pPr>
              <w:ind w:firstLine="0" w:firstLineChars="0"/>
              <w:rPr>
                <w:rFonts w:ascii="宋体" w:hAnsi="宋体" w:cs="宋体"/>
                <w:bCs/>
                <w:color w:val="000000"/>
                <w:sz w:val="22"/>
                <w:szCs w:val="21"/>
              </w:rPr>
            </w:pPr>
            <w:r>
              <w:rPr>
                <w:rFonts w:hint="eastAsia" w:ascii="宋体" w:hAnsi="宋体" w:cs="宋体"/>
                <w:bCs/>
                <w:color w:val="000000"/>
                <w:sz w:val="22"/>
                <w:szCs w:val="21"/>
              </w:rPr>
              <w:t>乐园</w:t>
            </w:r>
          </w:p>
        </w:tc>
        <w:tc>
          <w:tcPr>
            <w:tcW w:w="938"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w:t>
            </w:r>
          </w:p>
          <w:p>
            <w:pPr>
              <w:ind w:firstLine="0" w:firstLineChars="0"/>
              <w:rPr>
                <w:rFonts w:ascii="宋体" w:hAnsi="宋体" w:cs="宋体"/>
                <w:bCs/>
                <w:color w:val="000000"/>
                <w:sz w:val="22"/>
                <w:szCs w:val="21"/>
              </w:rPr>
            </w:pPr>
            <w:r>
              <w:rPr>
                <w:rFonts w:hint="eastAsia" w:ascii="宋体" w:hAnsi="宋体" w:cs="宋体"/>
                <w:bCs/>
                <w:color w:val="000000"/>
                <w:sz w:val="22"/>
                <w:szCs w:val="21"/>
              </w:rPr>
              <w:t>乐园</w:t>
            </w:r>
          </w:p>
        </w:tc>
        <w:tc>
          <w:tcPr>
            <w:tcW w:w="3670" w:type="dxa"/>
            <w:vAlign w:val="center"/>
          </w:tcPr>
          <w:p>
            <w:pPr>
              <w:ind w:firstLine="0" w:firstLineChars="0"/>
              <w:rPr>
                <w:rFonts w:ascii="宋体" w:hAnsi="宋体" w:cs="宋体"/>
                <w:bCs/>
                <w:color w:val="000000"/>
                <w:sz w:val="22"/>
                <w:szCs w:val="21"/>
              </w:rPr>
            </w:pPr>
            <w:r>
              <w:rPr>
                <w:rFonts w:hint="eastAsia" w:ascii="宋体" w:hAnsi="宋体" w:cs="宋体"/>
                <w:bCs/>
                <w:color w:val="000000"/>
                <w:sz w:val="22"/>
                <w:szCs w:val="21"/>
              </w:rPr>
              <w:t>木玩乐园-文化中心-南苑小区－信用联社-房管处-菜市场-中山广场-财税大楼-香菇市场-万和小区－象山村-下城门－嘉瑞华府（黄坑口）-大徐村-狮山工业园-仙宫大道</w:t>
            </w:r>
            <w:r>
              <w:rPr>
                <w:rFonts w:ascii="宋体" w:hAnsi="宋体" w:cs="宋体"/>
                <w:bCs/>
                <w:color w:val="000000"/>
                <w:sz w:val="22"/>
                <w:szCs w:val="21"/>
              </w:rPr>
              <w:t>路口-小徐砖瓦厂-</w:t>
            </w:r>
            <w:r>
              <w:rPr>
                <w:rFonts w:hint="eastAsia" w:ascii="宋体" w:hAnsi="宋体" w:cs="宋体"/>
                <w:bCs/>
                <w:color w:val="000000"/>
                <w:sz w:val="22"/>
                <w:szCs w:val="21"/>
              </w:rPr>
              <w:t>新</w:t>
            </w:r>
            <w:r>
              <w:rPr>
                <w:rFonts w:ascii="宋体" w:hAnsi="宋体" w:cs="宋体"/>
                <w:bCs/>
                <w:color w:val="000000"/>
                <w:sz w:val="22"/>
                <w:szCs w:val="21"/>
              </w:rPr>
              <w:t>人民医院-新建路口-木玩乐园</w:t>
            </w:r>
          </w:p>
        </w:tc>
        <w:tc>
          <w:tcPr>
            <w:tcW w:w="1488" w:type="dxa"/>
            <w:vAlign w:val="center"/>
          </w:tcPr>
          <w:p>
            <w:pPr>
              <w:ind w:firstLine="0" w:firstLineChars="0"/>
              <w:rPr>
                <w:rFonts w:ascii="宋体" w:hAnsi="宋体"/>
                <w:bCs/>
                <w:sz w:val="22"/>
                <w:szCs w:val="21"/>
              </w:rPr>
            </w:pPr>
            <w:r>
              <w:rPr>
                <w:rFonts w:hint="eastAsia" w:ascii="宋体" w:hAnsi="宋体"/>
                <w:bCs/>
                <w:sz w:val="22"/>
                <w:szCs w:val="21"/>
              </w:rPr>
              <w:t>调整</w:t>
            </w:r>
            <w:r>
              <w:rPr>
                <w:rFonts w:ascii="宋体" w:hAnsi="宋体"/>
                <w:bCs/>
                <w:sz w:val="22"/>
                <w:szCs w:val="21"/>
              </w:rPr>
              <w:t>为环线，</w:t>
            </w:r>
            <w:r>
              <w:rPr>
                <w:rFonts w:hint="eastAsia" w:ascii="宋体" w:hAnsi="宋体"/>
                <w:bCs/>
                <w:sz w:val="22"/>
                <w:szCs w:val="21"/>
              </w:rPr>
              <w:t>实现</w:t>
            </w:r>
            <w:r>
              <w:rPr>
                <w:rFonts w:ascii="宋体" w:hAnsi="宋体"/>
                <w:bCs/>
                <w:sz w:val="22"/>
                <w:szCs w:val="21"/>
              </w:rPr>
              <w:t>与</w:t>
            </w:r>
            <w:r>
              <w:rPr>
                <w:rFonts w:hint="eastAsia" w:ascii="宋体" w:hAnsi="宋体"/>
                <w:bCs/>
                <w:sz w:val="22"/>
                <w:szCs w:val="21"/>
              </w:rPr>
              <w:t>1、</w:t>
            </w:r>
            <w:r>
              <w:rPr>
                <w:rFonts w:ascii="宋体" w:hAnsi="宋体"/>
                <w:bCs/>
                <w:sz w:val="22"/>
                <w:szCs w:val="21"/>
              </w:rPr>
              <w:t>2</w:t>
            </w:r>
            <w:r>
              <w:rPr>
                <w:rFonts w:hint="eastAsia" w:ascii="宋体" w:hAnsi="宋体"/>
                <w:bCs/>
                <w:sz w:val="22"/>
                <w:szCs w:val="21"/>
              </w:rPr>
              <w:t>、</w:t>
            </w:r>
            <w:r>
              <w:rPr>
                <w:rFonts w:ascii="宋体" w:hAnsi="宋体"/>
                <w:bCs/>
                <w:sz w:val="22"/>
                <w:szCs w:val="21"/>
              </w:rPr>
              <w:t>3路车的衔接换乘。</w:t>
            </w:r>
            <w:r>
              <w:rPr>
                <w:rFonts w:hint="eastAsia" w:ascii="宋体" w:hAnsi="宋体"/>
                <w:bCs/>
                <w:sz w:val="22"/>
                <w:szCs w:val="21"/>
              </w:rPr>
              <w:t>同时</w:t>
            </w:r>
            <w:r>
              <w:rPr>
                <w:rFonts w:ascii="宋体" w:hAnsi="宋体"/>
                <w:bCs/>
                <w:sz w:val="22"/>
                <w:szCs w:val="21"/>
              </w:rPr>
              <w:t>满足“</w:t>
            </w:r>
            <w:r>
              <w:rPr>
                <w:rFonts w:hint="eastAsia" w:ascii="宋体" w:hAnsi="宋体"/>
                <w:bCs/>
                <w:sz w:val="22"/>
                <w:szCs w:val="21"/>
              </w:rPr>
              <w:t>大徐村</w:t>
            </w:r>
            <w:r>
              <w:rPr>
                <w:rFonts w:ascii="宋体" w:hAnsi="宋体"/>
                <w:bCs/>
                <w:sz w:val="22"/>
                <w:szCs w:val="21"/>
              </w:rPr>
              <w:t>”</w:t>
            </w:r>
            <w:r>
              <w:rPr>
                <w:rFonts w:hint="eastAsia" w:ascii="宋体" w:hAnsi="宋体"/>
                <w:bCs/>
                <w:sz w:val="22"/>
                <w:szCs w:val="21"/>
              </w:rPr>
              <w:t>等</w:t>
            </w:r>
            <w:r>
              <w:rPr>
                <w:bCs/>
                <w:sz w:val="22"/>
              </w:rPr>
              <w:t>住宅</w:t>
            </w:r>
            <w:r>
              <w:rPr>
                <w:rFonts w:hint="eastAsia"/>
                <w:bCs/>
                <w:sz w:val="22"/>
              </w:rPr>
              <w:t>密集</w:t>
            </w:r>
            <w:r>
              <w:rPr>
                <w:bCs/>
                <w:sz w:val="22"/>
              </w:rPr>
              <w:t>区域居民公交出行需求</w:t>
            </w:r>
          </w:p>
        </w:tc>
        <w:tc>
          <w:tcPr>
            <w:tcW w:w="1582" w:type="dxa"/>
            <w:vAlign w:val="center"/>
          </w:tcPr>
          <w:p>
            <w:pPr>
              <w:ind w:firstLine="0" w:firstLineChars="0"/>
              <w:jc w:val="center"/>
              <w:rPr>
                <w:rFonts w:ascii="宋体" w:hAnsi="宋体"/>
                <w:bCs/>
                <w:sz w:val="22"/>
                <w:szCs w:val="21"/>
              </w:rPr>
            </w:pPr>
            <w:r>
              <w:rPr>
                <w:rFonts w:hint="eastAsia" w:ascii="宋体" w:hAnsi="宋体"/>
                <w:bCs/>
                <w:sz w:val="22"/>
                <w:szCs w:val="21"/>
              </w:rPr>
              <w:t>2016年</w:t>
            </w:r>
          </w:p>
        </w:tc>
      </w:tr>
    </w:tbl>
    <w:p>
      <w:pPr>
        <w:ind w:firstLine="0" w:firstLineChars="0"/>
      </w:pPr>
    </w:p>
    <w:p>
      <w:pPr>
        <w:pStyle w:val="32"/>
        <w:numPr>
          <w:ilvl w:val="0"/>
          <w:numId w:val="2"/>
        </w:numPr>
        <w:ind w:firstLineChars="0"/>
        <w:rPr>
          <w:b/>
        </w:rPr>
      </w:pPr>
      <w:r>
        <w:rPr>
          <w:rFonts w:hint="eastAsia"/>
          <w:b/>
        </w:rPr>
        <w:t>服务优质</w:t>
      </w:r>
    </w:p>
    <w:p>
      <w:pPr>
        <w:ind w:firstLine="560"/>
      </w:pPr>
      <w:r>
        <w:rPr>
          <w:rFonts w:hint="eastAsia"/>
        </w:rPr>
        <w:t>提升云和县公共交通服务水平，基本解决“等车久、乘车难”等问题，县区城市公共交通的乘客服务满意度明显提高。到2020年末，云和县公共交通的乘客满意度达到85%以上。云和县3号线采用“守时公交”模式进行试点，根据城乡居民出行特征，在早、中、晚三个出行高峰设置合理的班次，既缓解居民出行难的问题，又可降低因为客流少而造成的运营成本浪费，提升公共服务效能。</w:t>
      </w:r>
    </w:p>
    <w:p>
      <w:pPr>
        <w:pStyle w:val="32"/>
        <w:numPr>
          <w:ilvl w:val="0"/>
          <w:numId w:val="2"/>
        </w:numPr>
        <w:ind w:firstLineChars="0"/>
        <w:rPr>
          <w:b/>
        </w:rPr>
      </w:pPr>
      <w:r>
        <w:rPr>
          <w:rFonts w:hint="eastAsia"/>
          <w:b/>
        </w:rPr>
        <w:t>管理规范</w:t>
      </w:r>
    </w:p>
    <w:p>
      <w:pPr>
        <w:ind w:firstLine="560"/>
      </w:pPr>
      <w:r>
        <w:rPr>
          <w:rFonts w:hint="eastAsia"/>
        </w:rPr>
        <w:t>截止到2020年末，基本完善云和县城市公共交通规划体系，基本建成设施建设、运营监管、票制制定、补贴补偿、安全应急、信息统计、及服务质量等方面的标准规范体系。</w:t>
      </w:r>
    </w:p>
    <w:p>
      <w:pPr>
        <w:ind w:firstLine="560"/>
      </w:pPr>
      <w:r>
        <w:rPr>
          <w:rFonts w:hint="eastAsia"/>
        </w:rPr>
        <w:t>推进公交服务标准化建设，规范公交从业人员服务标准。打造行业领先、标准统一、服务统一、形象统一的公交服务标准。加强公交职工队伍职业道德教育，培养弘扬敬业爱岗和诚信服务意识。加强职工技能培训，定期组织开展技术大练兵活动，不断提高职工业务技能。</w:t>
      </w:r>
    </w:p>
    <w:p>
      <w:pPr>
        <w:ind w:firstLine="185" w:firstLineChars="66"/>
        <w:rPr>
          <w:b/>
        </w:rPr>
      </w:pPr>
      <w:r>
        <w:rPr>
          <w:rFonts w:hint="eastAsia"/>
          <w:b/>
        </w:rPr>
        <w:t>（2）构建城乡客运一体化网络</w:t>
      </w:r>
    </w:p>
    <w:p>
      <w:pPr>
        <w:ind w:firstLine="560"/>
      </w:pPr>
      <w:r>
        <w:rPr>
          <w:rFonts w:hint="eastAsia"/>
        </w:rPr>
        <w:t>根据《云和县域总体规划（2006-2020）》中的县域空间发展结构，截止到“十三五”末，云和县将构建东部综合经济功能区、西北部生态旅游休闲功能区和南部山区农业经济功能区三大功能区。根据这种功能区块的划分，将采用放射形线网结构模式构建城乡公交。加强中心城区与城市边缘区、周围乡镇之间的交通联系。提高城乡公交线网通达率和乡镇与中心城区的直达率。放射形线网结构模式将以中心城区客运站，紧水滩镇、石塘镇、崇头镇客运站为中心枢纽向外进行辐射，构建云和县城乡一体化客运走廊。</w:t>
      </w:r>
    </w:p>
    <w:p>
      <w:pPr>
        <w:widowControl/>
        <w:spacing w:line="240" w:lineRule="auto"/>
        <w:ind w:firstLine="560" w:firstLineChars="0"/>
        <w:jc w:val="left"/>
        <w:rPr>
          <w:rFonts w:ascii="宋体" w:hAnsi="宋体" w:cs="宋体"/>
          <w:sz w:val="24"/>
          <w:szCs w:val="24"/>
        </w:rPr>
      </w:pPr>
      <w:r>
        <w:rPr>
          <w:rFonts w:ascii="宋体" w:hAnsi="宋体" w:cs="宋体"/>
          <w:sz w:val="24"/>
          <w:szCs w:val="24"/>
        </w:rPr>
        <w:drawing>
          <wp:inline distT="0" distB="0" distL="0" distR="0">
            <wp:extent cx="5600065" cy="3392170"/>
            <wp:effectExtent l="19050" t="0" r="142" b="0"/>
            <wp:docPr id="1" name="图片 1" descr="C:\Users\Administrator\AppData\Roaming\Tencent\Users\261125855\QQ\WinTemp\RichOle\(LND0X_$1AVC31HVN)@1(D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261125855\QQ\WinTemp\RichOle\(LND0X_$1AVC31HVN)@1(DL.png"/>
                    <pic:cNvPicPr>
                      <a:picLocks noChangeAspect="true" noChangeArrowheads="true"/>
                    </pic:cNvPicPr>
                  </pic:nvPicPr>
                  <pic:blipFill>
                    <a:blip r:embed="rId44"/>
                    <a:srcRect/>
                    <a:stretch>
                      <a:fillRect/>
                    </a:stretch>
                  </pic:blipFill>
                  <pic:spPr>
                    <a:xfrm>
                      <a:off x="0" y="0"/>
                      <a:ext cx="5600860" cy="3392412"/>
                    </a:xfrm>
                    <a:prstGeom prst="rect">
                      <a:avLst/>
                    </a:prstGeom>
                    <a:noFill/>
                    <a:ln w="9525">
                      <a:noFill/>
                      <a:miter lim="800000"/>
                      <a:headEnd/>
                      <a:tailEnd/>
                    </a:ln>
                  </pic:spPr>
                </pic:pic>
              </a:graphicData>
            </a:graphic>
          </wp:inline>
        </w:drawing>
      </w:r>
    </w:p>
    <w:p>
      <w:pPr>
        <w:ind w:firstLine="0" w:firstLineChars="0"/>
        <w:jc w:val="center"/>
      </w:pPr>
    </w:p>
    <w:p>
      <w:pPr>
        <w:pStyle w:val="60"/>
      </w:pPr>
      <w:r>
        <w:rPr>
          <w:rFonts w:hint="eastAsia"/>
        </w:rPr>
        <w:t>图5-11云和县城乡公交一体化网络布局图</w:t>
      </w:r>
    </w:p>
    <w:p>
      <w:pPr>
        <w:ind w:firstLine="0" w:firstLineChars="0"/>
        <w:rPr>
          <w:b/>
        </w:rPr>
      </w:pPr>
      <w:r>
        <w:rPr>
          <w:rFonts w:hint="eastAsia"/>
          <w:b/>
        </w:rPr>
        <w:t>（3）提高出租车服务水平</w:t>
      </w:r>
    </w:p>
    <w:p>
      <w:pPr>
        <w:ind w:firstLine="560"/>
      </w:pPr>
      <w:r>
        <w:rPr>
          <w:rFonts w:hint="eastAsia"/>
        </w:rPr>
        <w:t>适当新增出租车运力，到“十三五”末期云和县出租车数量达到60辆，与云和县社会经济发展相匹配，提高出租车人均拥有量达每万人5辆的行业标准，发挥出租车灵活便捷的服务优势。此外，加强出租车服务标准化建设，提升出租车服务水平，主要做到以下几点，</w:t>
      </w:r>
      <w:r>
        <w:t>详见表</w:t>
      </w:r>
      <w:r>
        <w:rPr>
          <w:rFonts w:hint="eastAsia"/>
        </w:rPr>
        <w:t>5</w:t>
      </w:r>
      <w:r>
        <w:t>-</w:t>
      </w:r>
      <w:r>
        <w:rPr>
          <w:rFonts w:hint="eastAsia"/>
        </w:rPr>
        <w:t>3。</w:t>
      </w:r>
    </w:p>
    <w:p>
      <w:pPr>
        <w:pStyle w:val="60"/>
      </w:pPr>
      <w:r>
        <w:rPr>
          <w:rFonts w:hint="eastAsia"/>
        </w:rPr>
        <w:t>表5-3出租车标准化建设实施细则</w:t>
      </w:r>
    </w:p>
    <w:tbl>
      <w:tblPr>
        <w:tblStyle w:val="24"/>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vAlign w:val="center"/>
          </w:tcPr>
          <w:p>
            <w:pPr>
              <w:ind w:firstLine="0" w:firstLineChars="0"/>
              <w:jc w:val="center"/>
              <w:rPr>
                <w:b/>
                <w:bCs/>
              </w:rPr>
            </w:pPr>
            <w:r>
              <w:rPr>
                <w:rFonts w:hint="eastAsia"/>
                <w:b/>
                <w:bCs/>
              </w:rPr>
              <w:t>服务标志要求</w:t>
            </w:r>
          </w:p>
        </w:tc>
        <w:tc>
          <w:tcPr>
            <w:tcW w:w="8505" w:type="dxa"/>
          </w:tcPr>
          <w:p>
            <w:pPr>
              <w:pStyle w:val="32"/>
              <w:numPr>
                <w:ilvl w:val="0"/>
                <w:numId w:val="3"/>
              </w:numPr>
              <w:ind w:firstLineChars="0"/>
              <w:rPr>
                <w:bCs/>
                <w:sz w:val="22"/>
                <w:szCs w:val="24"/>
              </w:rPr>
            </w:pPr>
            <w:r>
              <w:rPr>
                <w:rFonts w:hint="eastAsia"/>
                <w:bCs/>
                <w:sz w:val="22"/>
                <w:szCs w:val="24"/>
              </w:rPr>
              <w:t>车身颜色及喷涂式样应符合行业管理部门规定；</w:t>
            </w:r>
          </w:p>
          <w:p>
            <w:pPr>
              <w:pStyle w:val="32"/>
              <w:numPr>
                <w:ilvl w:val="0"/>
                <w:numId w:val="3"/>
              </w:numPr>
              <w:ind w:firstLineChars="0"/>
              <w:rPr>
                <w:bCs/>
                <w:sz w:val="22"/>
                <w:szCs w:val="24"/>
              </w:rPr>
            </w:pPr>
            <w:r>
              <w:rPr>
                <w:rFonts w:hint="eastAsia"/>
                <w:bCs/>
                <w:sz w:val="22"/>
                <w:szCs w:val="24"/>
              </w:rPr>
              <w:t>空车待租标志、暂停营运标志大小适宜，显示明亮、字迹清楚；</w:t>
            </w:r>
          </w:p>
          <w:p>
            <w:pPr>
              <w:pStyle w:val="32"/>
              <w:numPr>
                <w:ilvl w:val="0"/>
                <w:numId w:val="4"/>
              </w:numPr>
              <w:ind w:firstLineChars="0"/>
              <w:rPr>
                <w:bCs/>
              </w:rPr>
            </w:pPr>
            <w:r>
              <w:rPr>
                <w:rFonts w:hint="eastAsia"/>
                <w:bCs/>
                <w:sz w:val="22"/>
                <w:szCs w:val="24"/>
              </w:rPr>
              <w:t>道路运输证、从业资格证、服务监督卡（牌）、机动车检验合格标志、强制保险标志、车船使用税缴讫证、环保检验合格标志等，按规定要求携带、摆放、粘贴。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vAlign w:val="center"/>
          </w:tcPr>
          <w:p>
            <w:pPr>
              <w:ind w:firstLine="0" w:firstLineChars="0"/>
              <w:jc w:val="center"/>
              <w:rPr>
                <w:b/>
                <w:bCs/>
              </w:rPr>
            </w:pPr>
            <w:r>
              <w:rPr>
                <w:rFonts w:hint="eastAsia"/>
                <w:b/>
                <w:bCs/>
              </w:rPr>
              <w:t>运营特殊情况处理</w:t>
            </w:r>
          </w:p>
        </w:tc>
        <w:tc>
          <w:tcPr>
            <w:tcW w:w="8505" w:type="dxa"/>
          </w:tcPr>
          <w:p>
            <w:pPr>
              <w:pStyle w:val="32"/>
              <w:numPr>
                <w:ilvl w:val="0"/>
                <w:numId w:val="3"/>
              </w:numPr>
              <w:ind w:firstLineChars="0"/>
              <w:rPr>
                <w:bCs/>
              </w:rPr>
            </w:pPr>
            <w:r>
              <w:rPr>
                <w:rFonts w:hint="eastAsia"/>
                <w:bCs/>
                <w:sz w:val="22"/>
                <w:szCs w:val="24"/>
              </w:rPr>
              <w:t>乘客语言不通，无法确认目的地时，应帮助查询；</w:t>
            </w:r>
          </w:p>
          <w:p>
            <w:pPr>
              <w:pStyle w:val="32"/>
              <w:numPr>
                <w:ilvl w:val="0"/>
                <w:numId w:val="3"/>
              </w:numPr>
              <w:ind w:firstLineChars="0"/>
              <w:rPr>
                <w:bCs/>
              </w:rPr>
            </w:pPr>
            <w:r>
              <w:rPr>
                <w:rFonts w:hint="eastAsia"/>
                <w:bCs/>
                <w:sz w:val="22"/>
                <w:szCs w:val="24"/>
              </w:rPr>
              <w:t>乘客身体不适时，应协助乘客拨打急救电话，视情况采取相应急救措施；</w:t>
            </w:r>
          </w:p>
          <w:p>
            <w:pPr>
              <w:pStyle w:val="32"/>
              <w:numPr>
                <w:ilvl w:val="0"/>
                <w:numId w:val="3"/>
              </w:numPr>
              <w:ind w:firstLineChars="0"/>
              <w:rPr>
                <w:bCs/>
              </w:rPr>
            </w:pPr>
            <w:r>
              <w:rPr>
                <w:rFonts w:hint="eastAsia"/>
                <w:bCs/>
                <w:sz w:val="22"/>
                <w:szCs w:val="24"/>
              </w:rPr>
              <w:t>乘客对服务不满意时，应虚心听取批评意见，被乘客误解时，应心平气和，耐心解释；</w:t>
            </w:r>
          </w:p>
          <w:p>
            <w:pPr>
              <w:pStyle w:val="32"/>
              <w:numPr>
                <w:ilvl w:val="0"/>
                <w:numId w:val="3"/>
              </w:numPr>
              <w:ind w:firstLineChars="0"/>
              <w:rPr>
                <w:bCs/>
              </w:rPr>
            </w:pPr>
            <w:r>
              <w:rPr>
                <w:rFonts w:hint="eastAsia"/>
                <w:bCs/>
                <w:sz w:val="22"/>
                <w:szCs w:val="24"/>
              </w:rPr>
              <w:t>计价器发生故障时，应送检报修，不得继续营运；</w:t>
            </w:r>
          </w:p>
          <w:p>
            <w:pPr>
              <w:pStyle w:val="32"/>
              <w:numPr>
                <w:ilvl w:val="0"/>
                <w:numId w:val="3"/>
              </w:numPr>
              <w:ind w:firstLineChars="0"/>
              <w:rPr>
                <w:bCs/>
              </w:rPr>
            </w:pPr>
            <w:r>
              <w:rPr>
                <w:rFonts w:hint="eastAsia"/>
                <w:bCs/>
                <w:sz w:val="22"/>
                <w:szCs w:val="24"/>
              </w:rPr>
              <w:t>发现乘客遗失财物，应设法及时归还失主，无法找到失主的，应及时上交出租汽车企业或有关部门处理，不得私自留存；</w:t>
            </w:r>
          </w:p>
          <w:p>
            <w:pPr>
              <w:pStyle w:val="32"/>
              <w:numPr>
                <w:ilvl w:val="0"/>
                <w:numId w:val="3"/>
              </w:numPr>
              <w:ind w:firstLineChars="0"/>
              <w:rPr>
                <w:bCs/>
              </w:rPr>
            </w:pPr>
            <w:r>
              <w:rPr>
                <w:rFonts w:hint="eastAsia"/>
                <w:bCs/>
                <w:sz w:val="22"/>
                <w:szCs w:val="24"/>
              </w:rPr>
              <w:t>发现乘客遗留的可疑危险物品的，应立即报警。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vAlign w:val="center"/>
          </w:tcPr>
          <w:p>
            <w:pPr>
              <w:ind w:firstLine="0" w:firstLineChars="0"/>
              <w:jc w:val="center"/>
              <w:rPr>
                <w:b/>
                <w:bCs/>
              </w:rPr>
            </w:pPr>
            <w:r>
              <w:rPr>
                <w:rFonts w:hint="eastAsia"/>
                <w:b/>
                <w:bCs/>
              </w:rPr>
              <w:t>服务人员要求</w:t>
            </w:r>
          </w:p>
        </w:tc>
        <w:tc>
          <w:tcPr>
            <w:tcW w:w="8505" w:type="dxa"/>
          </w:tcPr>
          <w:p>
            <w:pPr>
              <w:pStyle w:val="32"/>
              <w:numPr>
                <w:ilvl w:val="0"/>
                <w:numId w:val="5"/>
              </w:numPr>
              <w:ind w:firstLineChars="0"/>
              <w:rPr>
                <w:bCs/>
              </w:rPr>
            </w:pPr>
            <w:r>
              <w:rPr>
                <w:rFonts w:hint="eastAsia"/>
                <w:bCs/>
                <w:sz w:val="22"/>
                <w:szCs w:val="24"/>
              </w:rPr>
              <w:t>驾驶员业务素质与培训经过从业资格培训，取得从业资格证件；</w:t>
            </w:r>
          </w:p>
          <w:p>
            <w:pPr>
              <w:pStyle w:val="32"/>
              <w:numPr>
                <w:ilvl w:val="0"/>
                <w:numId w:val="5"/>
              </w:numPr>
              <w:ind w:firstLineChars="0"/>
              <w:rPr>
                <w:bCs/>
              </w:rPr>
            </w:pPr>
            <w:r>
              <w:rPr>
                <w:rFonts w:hint="eastAsia"/>
                <w:bCs/>
                <w:sz w:val="22"/>
                <w:szCs w:val="24"/>
              </w:rPr>
              <w:t>遵守国家法律、法规和运营服务规范；</w:t>
            </w:r>
          </w:p>
          <w:p>
            <w:pPr>
              <w:pStyle w:val="32"/>
              <w:numPr>
                <w:ilvl w:val="0"/>
                <w:numId w:val="5"/>
              </w:numPr>
              <w:ind w:firstLineChars="0"/>
              <w:rPr>
                <w:bCs/>
              </w:rPr>
            </w:pPr>
            <w:r>
              <w:rPr>
                <w:rFonts w:hint="eastAsia"/>
                <w:bCs/>
                <w:sz w:val="22"/>
                <w:szCs w:val="24"/>
              </w:rPr>
              <w:t>熟知全县交通地理、地方特色等知识。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vAlign w:val="center"/>
          </w:tcPr>
          <w:p>
            <w:pPr>
              <w:ind w:firstLine="0" w:firstLineChars="0"/>
              <w:jc w:val="center"/>
              <w:rPr>
                <w:b/>
                <w:bCs/>
              </w:rPr>
            </w:pPr>
            <w:r>
              <w:rPr>
                <w:rFonts w:hint="eastAsia"/>
                <w:b/>
                <w:bCs/>
              </w:rPr>
              <w:t>驾驶员服务仪容</w:t>
            </w:r>
          </w:p>
        </w:tc>
        <w:tc>
          <w:tcPr>
            <w:tcW w:w="8505" w:type="dxa"/>
          </w:tcPr>
          <w:p>
            <w:pPr>
              <w:pStyle w:val="32"/>
              <w:numPr>
                <w:ilvl w:val="0"/>
                <w:numId w:val="5"/>
              </w:numPr>
              <w:ind w:firstLineChars="0"/>
              <w:rPr>
                <w:bCs/>
              </w:rPr>
            </w:pPr>
            <w:r>
              <w:rPr>
                <w:rFonts w:hint="eastAsia"/>
                <w:bCs/>
                <w:sz w:val="22"/>
                <w:szCs w:val="24"/>
              </w:rPr>
              <w:t>精神饱满、举止文明、礼貌待客；</w:t>
            </w:r>
          </w:p>
          <w:p>
            <w:pPr>
              <w:pStyle w:val="32"/>
              <w:numPr>
                <w:ilvl w:val="0"/>
                <w:numId w:val="5"/>
              </w:numPr>
              <w:ind w:firstLineChars="0"/>
              <w:rPr>
                <w:bCs/>
              </w:rPr>
            </w:pPr>
            <w:r>
              <w:rPr>
                <w:rFonts w:hint="eastAsia"/>
                <w:bCs/>
                <w:sz w:val="22"/>
                <w:szCs w:val="24"/>
              </w:rPr>
              <w:t>按规定着装，正确佩戴服务标志；</w:t>
            </w:r>
          </w:p>
          <w:p>
            <w:pPr>
              <w:pStyle w:val="32"/>
              <w:numPr>
                <w:ilvl w:val="0"/>
                <w:numId w:val="5"/>
              </w:numPr>
              <w:ind w:firstLineChars="0"/>
              <w:rPr>
                <w:bCs/>
              </w:rPr>
            </w:pPr>
            <w:r>
              <w:rPr>
                <w:rFonts w:hint="eastAsia"/>
                <w:bCs/>
                <w:sz w:val="22"/>
                <w:szCs w:val="24"/>
              </w:rPr>
              <w:t>提倡使用普通话、可根据乘客要求，使用地方方言；</w:t>
            </w:r>
          </w:p>
          <w:p>
            <w:pPr>
              <w:pStyle w:val="32"/>
              <w:numPr>
                <w:ilvl w:val="0"/>
                <w:numId w:val="5"/>
              </w:numPr>
              <w:ind w:firstLineChars="0"/>
              <w:rPr>
                <w:bCs/>
              </w:rPr>
            </w:pPr>
            <w:r>
              <w:rPr>
                <w:rFonts w:hint="eastAsia"/>
                <w:bCs/>
                <w:sz w:val="22"/>
                <w:szCs w:val="24"/>
              </w:rPr>
              <w:t>服务用语应规范准确，文明礼貌，服务时语气平和、表达清楚、声量适度、语速适中；</w:t>
            </w:r>
          </w:p>
          <w:p>
            <w:pPr>
              <w:pStyle w:val="32"/>
              <w:numPr>
                <w:ilvl w:val="0"/>
                <w:numId w:val="5"/>
              </w:numPr>
              <w:ind w:firstLineChars="0"/>
              <w:rPr>
                <w:bCs/>
              </w:rPr>
            </w:pPr>
            <w:r>
              <w:rPr>
                <w:rFonts w:hint="eastAsia"/>
                <w:bCs/>
                <w:sz w:val="22"/>
                <w:szCs w:val="24"/>
              </w:rPr>
              <w:t>不得在乘客面前有不文明行为和语言；</w:t>
            </w:r>
          </w:p>
          <w:p>
            <w:pPr>
              <w:pStyle w:val="32"/>
              <w:numPr>
                <w:ilvl w:val="0"/>
                <w:numId w:val="5"/>
              </w:numPr>
              <w:ind w:firstLineChars="0"/>
              <w:rPr>
                <w:bCs/>
              </w:rPr>
            </w:pPr>
            <w:r>
              <w:rPr>
                <w:rFonts w:hint="eastAsia"/>
                <w:bCs/>
                <w:sz w:val="22"/>
                <w:szCs w:val="24"/>
              </w:rPr>
              <w:t>不得在车厢内吸烟，不得向车外抛物、吐痰。</w:t>
            </w:r>
          </w:p>
        </w:tc>
      </w:tr>
    </w:tbl>
    <w:p>
      <w:pPr>
        <w:ind w:firstLine="0" w:firstLineChars="0"/>
        <w:rPr>
          <w:b/>
        </w:rPr>
      </w:pPr>
      <w:r>
        <w:rPr>
          <w:rFonts w:hint="eastAsia"/>
          <w:b/>
        </w:rPr>
        <w:t>（4）机动车维修企业</w:t>
      </w:r>
    </w:p>
    <w:p>
      <w:pPr>
        <w:ind w:firstLine="560"/>
      </w:pPr>
      <w:r>
        <w:t>2020</w:t>
      </w:r>
      <w:r>
        <w:rPr>
          <w:rFonts w:hint="eastAsia"/>
        </w:rPr>
        <w:t>年，云和县将引进2-3家汽车品牌店，例如大众、现代、上海通用五菱等云和县市场占有率较大的汽车品牌。此外，为了满足货车、挂车等大型货运车辆的维修需求，截止“十三五”末期，云和县将引进1家大型货车维修企业。形成以一类维修企业和汽车品牌店为主，二类、三类维修企业为辅的机动车维修企业结构，满足云和县机动车快速发展需求。</w:t>
      </w:r>
    </w:p>
    <w:p>
      <w:pPr>
        <w:ind w:firstLine="0" w:firstLineChars="0"/>
        <w:rPr>
          <w:b/>
        </w:rPr>
      </w:pPr>
      <w:r>
        <w:rPr>
          <w:b/>
        </w:rPr>
        <w:t>——</w:t>
      </w:r>
      <w:r>
        <w:rPr>
          <w:rFonts w:hint="eastAsia"/>
          <w:b/>
        </w:rPr>
        <w:t>交通科技与信息化</w:t>
      </w:r>
    </w:p>
    <w:p>
      <w:pPr>
        <w:ind w:firstLine="0" w:firstLineChars="0"/>
        <w:rPr>
          <w:b/>
        </w:rPr>
      </w:pPr>
      <w:r>
        <w:rPr>
          <w:rFonts w:hint="eastAsia"/>
          <w:b/>
        </w:rPr>
        <w:t>（</w:t>
      </w:r>
      <w:r>
        <w:rPr>
          <w:b/>
        </w:rPr>
        <w:t>1</w:t>
      </w:r>
      <w:r>
        <w:rPr>
          <w:rFonts w:hint="eastAsia"/>
          <w:b/>
        </w:rPr>
        <w:t>）大力推广全市公交</w:t>
      </w:r>
      <w:r>
        <w:rPr>
          <w:b/>
        </w:rPr>
        <w:t>IC</w:t>
      </w:r>
      <w:r>
        <w:rPr>
          <w:rFonts w:hint="eastAsia"/>
          <w:b/>
        </w:rPr>
        <w:t>卡一卡通</w:t>
      </w:r>
    </w:p>
    <w:p>
      <w:pPr>
        <w:ind w:firstLine="560"/>
      </w:pPr>
      <w:r>
        <w:rPr>
          <w:rFonts w:hint="eastAsia"/>
        </w:rPr>
        <w:t>提高公交</w:t>
      </w:r>
      <w:r>
        <w:t>IC</w:t>
      </w:r>
      <w:r>
        <w:rPr>
          <w:rFonts w:hint="eastAsia"/>
        </w:rPr>
        <w:t>卡使用率，争取到</w:t>
      </w:r>
      <w:r>
        <w:t>2020</w:t>
      </w:r>
      <w:r>
        <w:rPr>
          <w:rFonts w:hint="eastAsia"/>
        </w:rPr>
        <w:t>年，</w:t>
      </w:r>
      <w:r>
        <w:t>IC</w:t>
      </w:r>
      <w:r>
        <w:rPr>
          <w:rFonts w:hint="eastAsia"/>
        </w:rPr>
        <w:t>卡的使用率达到</w:t>
      </w:r>
      <w:r>
        <w:t>40</w:t>
      </w:r>
      <w:r>
        <w:rPr>
          <w:rFonts w:hint="eastAsia"/>
        </w:rPr>
        <w:t>％以上。</w:t>
      </w:r>
    </w:p>
    <w:p>
      <w:pPr>
        <w:ind w:firstLine="0" w:firstLineChars="0"/>
        <w:rPr>
          <w:b/>
        </w:rPr>
      </w:pPr>
      <w:r>
        <w:rPr>
          <w:rFonts w:hint="eastAsia"/>
          <w:b/>
        </w:rPr>
        <w:t>（</w:t>
      </w:r>
      <w:r>
        <w:rPr>
          <w:b/>
        </w:rPr>
        <w:t>2</w:t>
      </w:r>
      <w:r>
        <w:rPr>
          <w:rFonts w:hint="eastAsia"/>
          <w:b/>
        </w:rPr>
        <w:t>）推广科技信息化装备使用范围</w:t>
      </w:r>
    </w:p>
    <w:p>
      <w:pPr>
        <w:ind w:firstLine="560"/>
      </w:pPr>
      <w:r>
        <w:rPr>
          <w:rFonts w:hint="eastAsia"/>
        </w:rPr>
        <w:t>截止到</w:t>
      </w:r>
      <w:r>
        <w:t>2020</w:t>
      </w:r>
      <w:r>
        <w:rPr>
          <w:rFonts w:hint="eastAsia"/>
        </w:rPr>
        <w:t>年底，云和县所有公交车安装车载视频监控系统，加强对公交车辆的动态管理，</w:t>
      </w:r>
      <w:r>
        <w:t>2020</w:t>
      </w:r>
      <w:r>
        <w:rPr>
          <w:rFonts w:hint="eastAsia"/>
        </w:rPr>
        <w:t>年末，争取超过100％的公交车安装刷卡终端，100％公交车装有站名播报显示系统，能够更加方便乘客的到站下车，提高公交服务满意度。</w:t>
      </w:r>
    </w:p>
    <w:p>
      <w:pPr>
        <w:ind w:firstLine="560"/>
      </w:pPr>
      <w:r>
        <w:rPr>
          <w:rFonts w:hint="eastAsia"/>
        </w:rPr>
        <w:t>利用科技化信息手段加强出租车管理。争取到2020年底，云和县建立出租车监管平台，100%出租车安装</w:t>
      </w:r>
      <w:r>
        <w:t>GPS</w:t>
      </w:r>
      <w:r>
        <w:rPr>
          <w:rFonts w:hint="eastAsia"/>
        </w:rPr>
        <w:t>系统，实现数据的传输，对出租车的营运范围进行严格监管，加强对随意收取出租车费、拒载、拼客等违规行为的管理。</w:t>
      </w:r>
    </w:p>
    <w:p>
      <w:pPr>
        <w:ind w:firstLine="0" w:firstLineChars="0"/>
        <w:rPr>
          <w:b/>
        </w:rPr>
      </w:pPr>
      <w:r>
        <w:rPr>
          <w:rFonts w:hint="eastAsia"/>
          <w:b/>
        </w:rPr>
        <w:t>（3）提升物流信息管理水平</w:t>
      </w:r>
    </w:p>
    <w:p>
      <w:pPr>
        <w:ind w:firstLine="560"/>
      </w:pPr>
      <w:r>
        <w:rPr>
          <w:rFonts w:hint="eastAsia"/>
        </w:rPr>
        <w:t>争取通过5年的时间，根据浙江省道路运输管理局的要求，大幅度提高物流行业信息化水平，使物流企业信息系统使用率提高20%，与重点物流及相关信息系统基本联网，初步实现物流信息数据交换，公共信息发布、货品物流状态跟踪、网上车货交易等公共应用服务。</w:t>
      </w:r>
    </w:p>
    <w:p>
      <w:pPr>
        <w:ind w:firstLine="0" w:firstLineChars="0"/>
        <w:rPr>
          <w:b/>
        </w:rPr>
      </w:pPr>
    </w:p>
    <w:p>
      <w:pPr>
        <w:ind w:firstLine="0" w:firstLineChars="0"/>
        <w:rPr>
          <w:b/>
        </w:rPr>
      </w:pPr>
      <w:r>
        <w:rPr>
          <w:b/>
        </w:rPr>
        <w:t>——</w:t>
      </w:r>
      <w:r>
        <w:rPr>
          <w:rFonts w:hint="eastAsia"/>
          <w:b/>
        </w:rPr>
        <w:t>绿色交通</w:t>
      </w:r>
    </w:p>
    <w:p>
      <w:pPr>
        <w:ind w:firstLine="0" w:firstLineChars="0"/>
        <w:rPr>
          <w:b/>
        </w:rPr>
      </w:pPr>
      <w:r>
        <w:rPr>
          <w:rFonts w:hint="eastAsia"/>
          <w:b/>
        </w:rPr>
        <w:t>（</w:t>
      </w:r>
      <w:r>
        <w:rPr>
          <w:b/>
        </w:rPr>
        <w:t>1</w:t>
      </w:r>
      <w:r>
        <w:rPr>
          <w:rFonts w:hint="eastAsia"/>
          <w:b/>
        </w:rPr>
        <w:t>）打造慢行交通系统</w:t>
      </w:r>
    </w:p>
    <w:p>
      <w:pPr>
        <w:ind w:firstLine="560"/>
      </w:pPr>
      <w:r>
        <w:rPr>
          <w:rFonts w:hint="eastAsia"/>
        </w:rPr>
        <w:t>争取到“十三五”末期，云和县初步形成资源节约型、环境友好型城市框架体系。大力推进城市公共交通优先发展战略，倡导居民绿色出行。推进城市“公交＋自行车＋电动车＋步行”的城市交通模式。加快城市慢行交通系统建设，做好城市慢行交通系统规划。截止到</w:t>
      </w:r>
      <w:r>
        <w:t>2020</w:t>
      </w:r>
      <w:r>
        <w:rPr>
          <w:rFonts w:hint="eastAsia"/>
        </w:rPr>
        <w:t>年末，云和县慢行交通里程较2015年末增加10%，为城市交通融入新的元素，为城市居民出行带来舒适和方便，有助于打造舒适、健康、可持续发展的高品质城市。预计到2020年底，云和县将新增29个公共自行车租赁点，主要分布在一些大型居住区、商场、旅游景区、学校和一些办公密集区域。</w:t>
      </w:r>
    </w:p>
    <w:p>
      <w:pPr>
        <w:ind w:firstLine="185" w:firstLineChars="66"/>
        <w:rPr>
          <w:b/>
        </w:rPr>
      </w:pPr>
      <w:r>
        <w:rPr>
          <w:rFonts w:hint="eastAsia"/>
          <w:b/>
        </w:rPr>
        <w:t>（</w:t>
      </w:r>
      <w:r>
        <w:rPr>
          <w:b/>
        </w:rPr>
        <w:t>2</w:t>
      </w:r>
      <w:r>
        <w:rPr>
          <w:rFonts w:hint="eastAsia"/>
          <w:b/>
        </w:rPr>
        <w:t>）新能源车辆的推广</w:t>
      </w:r>
    </w:p>
    <w:p>
      <w:pPr>
        <w:ind w:firstLine="560"/>
      </w:pPr>
      <w:r>
        <w:rPr>
          <w:rFonts w:hint="eastAsia"/>
        </w:rPr>
        <w:t>加快新能源车辆的更新，及一些高排放、高耗能车辆的淘汰。截止到</w:t>
      </w:r>
      <w:r>
        <w:t>2020</w:t>
      </w:r>
      <w:r>
        <w:rPr>
          <w:rFonts w:hint="eastAsia"/>
        </w:rPr>
        <w:t>年末，云和县新能源营运车辆将占总营运车辆20％。</w:t>
      </w:r>
    </w:p>
    <w:p>
      <w:pPr>
        <w:ind w:firstLine="0" w:firstLineChars="0"/>
        <w:rPr>
          <w:b/>
        </w:rPr>
      </w:pPr>
      <w:r>
        <w:rPr>
          <w:b/>
        </w:rPr>
        <w:t>——</w:t>
      </w:r>
      <w:r>
        <w:rPr>
          <w:rFonts w:hint="eastAsia"/>
          <w:b/>
        </w:rPr>
        <w:t>安全应急监管</w:t>
      </w:r>
    </w:p>
    <w:p>
      <w:pPr>
        <w:ind w:firstLine="185" w:firstLineChars="66"/>
        <w:rPr>
          <w:b/>
        </w:rPr>
      </w:pPr>
      <w:r>
        <w:rPr>
          <w:rFonts w:hint="eastAsia"/>
          <w:b/>
        </w:rPr>
        <w:t>（</w:t>
      </w:r>
      <w:r>
        <w:rPr>
          <w:b/>
        </w:rPr>
        <w:t>1</w:t>
      </w:r>
      <w:r>
        <w:rPr>
          <w:rFonts w:hint="eastAsia"/>
          <w:b/>
        </w:rPr>
        <w:t>）安全检查</w:t>
      </w:r>
    </w:p>
    <w:p>
      <w:pPr>
        <w:ind w:firstLine="560"/>
      </w:pPr>
      <w:r>
        <w:rPr>
          <w:rFonts w:hint="eastAsia"/>
        </w:rPr>
        <w:t>“十三五”期间，不定期开展“安全生产大检查”工作，监督企业做好各项安全生产工作，建立完善的安全生产责任制，将安全生产工作重点转移到事前预防，降低事故的发生率，保障人民群众生命财产安全。</w:t>
      </w:r>
    </w:p>
    <w:p>
      <w:pPr>
        <w:ind w:firstLine="185" w:firstLineChars="66"/>
        <w:rPr>
          <w:b/>
        </w:rPr>
      </w:pPr>
      <w:r>
        <w:rPr>
          <w:rFonts w:hint="eastAsia"/>
          <w:b/>
        </w:rPr>
        <w:t>（</w:t>
      </w:r>
      <w:r>
        <w:rPr>
          <w:b/>
        </w:rPr>
        <w:t>2</w:t>
      </w:r>
      <w:r>
        <w:rPr>
          <w:rFonts w:hint="eastAsia"/>
          <w:b/>
        </w:rPr>
        <w:t>）安全监控设备的使用</w:t>
      </w:r>
    </w:p>
    <w:p>
      <w:pPr>
        <w:ind w:firstLine="560"/>
      </w:pPr>
      <w:r>
        <w:rPr>
          <w:rFonts w:hint="eastAsia"/>
        </w:rPr>
        <w:t>构建完成覆盖全县的重点营运车辆联网联控系统，全县危险品运输车辆、三类以上班线客运和旅游包、应急保障车队车辆的卫星定位系统安装率达到100％，二级客运站和重点物流基地动态视频监控率达到100％。所有二级客运站安装智能安检系统，源头安全管理体系进一步完善。</w:t>
      </w:r>
    </w:p>
    <w:p>
      <w:pPr>
        <w:ind w:firstLine="185" w:firstLineChars="66"/>
        <w:rPr>
          <w:b/>
        </w:rPr>
      </w:pPr>
      <w:r>
        <w:rPr>
          <w:rFonts w:hint="eastAsia"/>
          <w:b/>
        </w:rPr>
        <w:t>（</w:t>
      </w:r>
      <w:r>
        <w:rPr>
          <w:b/>
        </w:rPr>
        <w:t>3</w:t>
      </w:r>
      <w:r>
        <w:rPr>
          <w:rFonts w:hint="eastAsia"/>
          <w:b/>
        </w:rPr>
        <w:t>）安全生产标准化</w:t>
      </w:r>
    </w:p>
    <w:p>
      <w:pPr>
        <w:ind w:firstLine="560"/>
      </w:pPr>
      <w:r>
        <w:rPr>
          <w:rFonts w:hint="eastAsia"/>
        </w:rPr>
        <w:t>“十二五”期间，云和县已完成3家客运企业、3家货运企业（华泰、华宏、万通）和8家二类以上维修企业的安全生产标准化评审工作。争取到“十三五”末期，云和县完成所有道路运输企业的安全生产标准化评审工作，通过率达到100%。</w:t>
      </w:r>
    </w:p>
    <w:p>
      <w:pPr>
        <w:ind w:firstLine="185" w:firstLineChars="66"/>
        <w:rPr>
          <w:b/>
        </w:rPr>
      </w:pPr>
      <w:r>
        <w:rPr>
          <w:rFonts w:hint="eastAsia"/>
          <w:b/>
        </w:rPr>
        <w:t>（4）应急物资保障能力建设</w:t>
      </w:r>
    </w:p>
    <w:p>
      <w:pPr>
        <w:ind w:firstLine="560"/>
      </w:pPr>
      <w:r>
        <w:rPr>
          <w:rFonts w:hint="eastAsia"/>
        </w:rPr>
        <w:t>建立健全应急物资储备保障制度和共享制度，整合储备信息资源、调整储备品种和数量，合理选择储备方式，完善重要应急物资储备检测网络、共享机制和应急物资生产、储备、调拨及紧急配送体系，实现对各类应急物资的动态管理和政府统一调度。</w:t>
      </w:r>
    </w:p>
    <w:p>
      <w:pPr>
        <w:ind w:firstLine="0" w:firstLineChars="0"/>
        <w:rPr>
          <w:b/>
        </w:rPr>
      </w:pPr>
      <w:r>
        <w:rPr>
          <w:b/>
        </w:rPr>
        <w:t>——</w:t>
      </w:r>
      <w:r>
        <w:rPr>
          <w:rFonts w:hint="eastAsia"/>
          <w:b/>
        </w:rPr>
        <w:t>行业监管</w:t>
      </w:r>
    </w:p>
    <w:p>
      <w:pPr>
        <w:ind w:firstLine="185" w:firstLineChars="66"/>
        <w:rPr>
          <w:b/>
        </w:rPr>
      </w:pPr>
      <w:r>
        <w:rPr>
          <w:rFonts w:hint="eastAsia"/>
          <w:b/>
        </w:rPr>
        <w:t>（</w:t>
      </w:r>
      <w:r>
        <w:rPr>
          <w:b/>
        </w:rPr>
        <w:t>1</w:t>
      </w:r>
      <w:r>
        <w:rPr>
          <w:rFonts w:hint="eastAsia"/>
          <w:b/>
        </w:rPr>
        <w:t>）建立道路运输企业信用考核体系</w:t>
      </w:r>
    </w:p>
    <w:p>
      <w:pPr>
        <w:ind w:firstLine="560"/>
      </w:pPr>
      <w:r>
        <w:rPr>
          <w:rFonts w:hint="eastAsia"/>
        </w:rPr>
        <w:t>针对道路运输客运、货运、驾培、维修等企业建立企业信用考核体系，加强对道路运输企业监管，提升道路运输服务水平，提高道路运输服务效率，提升道路运输从业人员的职业素养。</w:t>
      </w:r>
    </w:p>
    <w:p>
      <w:pPr>
        <w:ind w:firstLine="185" w:firstLineChars="66"/>
        <w:rPr>
          <w:b/>
        </w:rPr>
      </w:pPr>
      <w:r>
        <w:rPr>
          <w:rFonts w:hint="eastAsia"/>
          <w:b/>
        </w:rPr>
        <w:t>（</w:t>
      </w:r>
      <w:r>
        <w:rPr>
          <w:b/>
        </w:rPr>
        <w:t>2</w:t>
      </w:r>
      <w:r>
        <w:rPr>
          <w:rFonts w:hint="eastAsia"/>
          <w:b/>
        </w:rPr>
        <w:t>）制定城市公共交通成本核算机制</w:t>
      </w:r>
    </w:p>
    <w:p>
      <w:pPr>
        <w:ind w:firstLine="560"/>
      </w:pPr>
      <w:r>
        <w:rPr>
          <w:rFonts w:hint="eastAsia"/>
        </w:rPr>
        <w:t>“十三五”期间，加快制定城市公共交通成本核算机制，加大对城市公共交通建设资本投入与产出的核算，合理估算政府购买公共交通服务预算。加大政府对城市公共交通经费投入监管，提高城市公共交通服务质量。</w:t>
      </w:r>
    </w:p>
    <w:p>
      <w:pPr>
        <w:ind w:firstLine="0" w:firstLineChars="0"/>
        <w:rPr>
          <w:b/>
        </w:rPr>
      </w:pPr>
      <w:r>
        <w:rPr>
          <w:b/>
        </w:rPr>
        <w:t>——</w:t>
      </w:r>
      <w:r>
        <w:rPr>
          <w:rFonts w:hint="eastAsia"/>
          <w:b/>
        </w:rPr>
        <w:t>人员队伍建设</w:t>
      </w:r>
    </w:p>
    <w:p>
      <w:pPr>
        <w:ind w:firstLine="185" w:firstLineChars="66"/>
        <w:rPr>
          <w:b/>
        </w:rPr>
      </w:pPr>
      <w:r>
        <w:rPr>
          <w:rFonts w:hint="eastAsia"/>
          <w:b/>
        </w:rPr>
        <w:t>（</w:t>
      </w:r>
      <w:r>
        <w:rPr>
          <w:b/>
        </w:rPr>
        <w:t>1</w:t>
      </w:r>
      <w:r>
        <w:rPr>
          <w:rFonts w:hint="eastAsia"/>
          <w:b/>
        </w:rPr>
        <w:t>）完善用人机制</w:t>
      </w:r>
    </w:p>
    <w:p>
      <w:pPr>
        <w:ind w:firstLine="560"/>
      </w:pPr>
      <w:r>
        <w:rPr>
          <w:rFonts w:hint="eastAsia"/>
        </w:rPr>
        <w:t>道路运输人员队伍应当体现专业化、正规化、数字化、信息化的要求，截止到</w:t>
      </w:r>
      <w:r>
        <w:t>2020</w:t>
      </w:r>
      <w:r>
        <w:rPr>
          <w:rFonts w:hint="eastAsia"/>
        </w:rPr>
        <w:t>年，力争云和县新增道路运输管理人员，所有新增人员要求本科及以上学历，道路运输相关专业达</w:t>
      </w:r>
      <w:r>
        <w:t>70</w:t>
      </w:r>
      <w:r>
        <w:rPr>
          <w:rFonts w:hint="eastAsia"/>
        </w:rPr>
        <w:t>％以上。加强人员日常管理，实行竞争上岗，定期轮岗。完善激励约束机制，建立健全绩效评估制度，严格考核奖惩。</w:t>
      </w:r>
    </w:p>
    <w:p>
      <w:pPr>
        <w:ind w:firstLine="185" w:firstLineChars="66"/>
        <w:rPr>
          <w:b/>
        </w:rPr>
      </w:pPr>
      <w:r>
        <w:rPr>
          <w:rFonts w:hint="eastAsia"/>
          <w:b/>
        </w:rPr>
        <w:t>（</w:t>
      </w:r>
      <w:r>
        <w:rPr>
          <w:b/>
        </w:rPr>
        <w:t>2</w:t>
      </w:r>
      <w:r>
        <w:rPr>
          <w:rFonts w:hint="eastAsia"/>
          <w:b/>
        </w:rPr>
        <w:t>）人员培训</w:t>
      </w:r>
    </w:p>
    <w:p>
      <w:pPr>
        <w:ind w:firstLine="560"/>
      </w:pPr>
      <w:r>
        <w:rPr>
          <w:rFonts w:hint="eastAsia"/>
        </w:rPr>
        <w:t>每年制定道路运输从业人员培训计划，明确培训内容、培训人员、培训时间等相关内容。不定期开展一些道路运输从业人员职业知识竞赛，增加从业人员职业道德素养，提升服务水平。</w:t>
      </w:r>
    </w:p>
    <w:p>
      <w:pPr>
        <w:ind w:firstLine="185" w:firstLineChars="66"/>
        <w:rPr>
          <w:b/>
        </w:rPr>
      </w:pPr>
      <w:r>
        <w:rPr>
          <w:rFonts w:hint="eastAsia"/>
          <w:b/>
        </w:rPr>
        <w:t>（</w:t>
      </w:r>
      <w:r>
        <w:rPr>
          <w:b/>
        </w:rPr>
        <w:t>3</w:t>
      </w:r>
      <w:r>
        <w:rPr>
          <w:rFonts w:hint="eastAsia"/>
          <w:b/>
        </w:rPr>
        <w:t>）人员交流</w:t>
      </w:r>
    </w:p>
    <w:p>
      <w:pPr>
        <w:ind w:firstLine="560"/>
      </w:pPr>
      <w:r>
        <w:rPr>
          <w:rFonts w:hint="eastAsia"/>
        </w:rPr>
        <w:t>“十三五”期间，加快道路运输管理队员人员交流，鼓励和提倡上下级道路运输管理机构互派干部交流挂职或任职。大力倡导勤政为民、爱岗敬业、求真务实、勇于奉献的工作作风，提升道路运输从业人员的服务水平。</w:t>
      </w:r>
    </w:p>
    <w:p>
      <w:pPr>
        <w:widowControl/>
        <w:spacing w:line="240" w:lineRule="auto"/>
        <w:ind w:firstLine="0" w:firstLineChars="0"/>
        <w:jc w:val="left"/>
      </w:pPr>
      <w:r>
        <w:br w:type="page"/>
      </w:r>
    </w:p>
    <w:p>
      <w:pPr>
        <w:pStyle w:val="2"/>
        <w:spacing w:after="190"/>
      </w:pPr>
      <w:bookmarkStart w:id="58" w:name="_Toc317843308"/>
      <w:bookmarkStart w:id="59" w:name="_Toc340220211"/>
      <w:r>
        <w:rPr>
          <w:rFonts w:hint="eastAsia"/>
        </w:rPr>
        <w:t>第六章云和县道路运输“十三五”发展</w:t>
      </w:r>
      <w:bookmarkEnd w:id="58"/>
      <w:r>
        <w:rPr>
          <w:rFonts w:hint="eastAsia"/>
        </w:rPr>
        <w:t>重点</w:t>
      </w:r>
      <w:bookmarkEnd w:id="59"/>
    </w:p>
    <w:p>
      <w:pPr>
        <w:pStyle w:val="3"/>
        <w:snapToGrid w:val="0"/>
        <w:spacing w:before="190" w:after="190" w:line="240" w:lineRule="auto"/>
      </w:pPr>
      <w:bookmarkStart w:id="60" w:name="_Toc317843309"/>
      <w:bookmarkStart w:id="61" w:name="_Toc340220212"/>
      <w:r>
        <w:t>6.1</w:t>
      </w:r>
      <w:bookmarkEnd w:id="60"/>
      <w:r>
        <w:rPr>
          <w:rFonts w:hint="eastAsia"/>
        </w:rPr>
        <w:t>道路旅客运输发展重点</w:t>
      </w:r>
      <w:bookmarkEnd w:id="61"/>
    </w:p>
    <w:p>
      <w:pPr>
        <w:pStyle w:val="44"/>
        <w:spacing w:before="190" w:after="190"/>
        <w:outlineLvl w:val="2"/>
      </w:pPr>
      <w:bookmarkStart w:id="62" w:name="_Toc317843310"/>
      <w:r>
        <w:t>6.1.1</w:t>
      </w:r>
      <w:r>
        <w:rPr>
          <w:rFonts w:hint="eastAsia"/>
        </w:rPr>
        <w:t>城际客运</w:t>
      </w:r>
      <w:bookmarkEnd w:id="62"/>
    </w:p>
    <w:p>
      <w:pPr>
        <w:pStyle w:val="44"/>
        <w:spacing w:before="190" w:after="190"/>
        <w:outlineLvl w:val="9"/>
      </w:pPr>
      <w:bookmarkStart w:id="63" w:name="_Toc317843311"/>
      <w:r>
        <w:rPr>
          <w:rFonts w:hint="eastAsia"/>
        </w:rPr>
        <w:t>（</w:t>
      </w:r>
      <w:r>
        <w:t>1</w:t>
      </w:r>
      <w:r>
        <w:rPr>
          <w:rFonts w:hint="eastAsia"/>
        </w:rPr>
        <w:t>）深化城际道路客运领域的改革</w:t>
      </w:r>
      <w:bookmarkEnd w:id="63"/>
    </w:p>
    <w:p>
      <w:pPr>
        <w:ind w:firstLine="560"/>
      </w:pPr>
      <w:r>
        <w:rPr>
          <w:rFonts w:hint="eastAsia"/>
        </w:rPr>
        <w:t>为深入贯彻党的十八大和十八届三中、四中全会和省委十三届四次全会精神，同时根据《交通运输部关于开展全面深化交通运输改革试点工作的通知》和《交通运输部关于全面深化交通运输改革的意见》两个意见的精神，充分发挥市场在资源配置中的决定性作用是未来城际道路旅客运输主要改革方向。到“十三五”末期，通过简政放权赋予企业更多经营自主权，激发市场活力，提高资源配置效率，提升云和县道路客运行业竞争力，在城际道路客运改革创新和转型升级方面取得显著成效，客运班线公司化和集约化水平进一步提高，服务能力和服务质量进一步提升，行业服务和管理制度进一步优化，道路客运企业发展基础和发展能力进一步增强。此外，抓住全省客运联网服务系统市场化的契机，加快推进道路客运站联网联程“一票制”服务体系，并于高铁、民航和城市公交等互联互通，逐步形成商务旅行、休闲旅游、小件物流和配套服务有机结合的完善服务体系。</w:t>
      </w:r>
    </w:p>
    <w:p>
      <w:pPr>
        <w:ind w:firstLine="560"/>
      </w:pPr>
      <w:r>
        <w:rPr>
          <w:rFonts w:hint="eastAsia"/>
        </w:rPr>
        <w:t>加快客运组织结构调整。由传统的政府主导型转向市场主导型，走可持续发展道路。推进县城至乡镇（村）所在地的客运线路运力整合，引导运行相同途经线路、相同区域线路运力的整合。鼓励现有道路运输企业通过运力整合、股份制改造等方式，推行公司化经营。</w:t>
      </w:r>
    </w:p>
    <w:p>
      <w:pPr>
        <w:ind w:firstLine="560"/>
      </w:pPr>
      <w:r>
        <w:rPr>
          <w:rFonts w:hint="eastAsia"/>
        </w:rPr>
        <w:t>加快创新管理的推进，主要表现在加快学科管理方式的改革。在有条件的线路上和区域内，推行线路许可和区域经营许可，充分发挥市场在资源配置中的决定作用，突出企业市场经营主导地位。推进线路许可方式改革。鼓励客运企业实施集约化、公司化经营，分类实施线路许可模式。实施公司化经营的线路，不再针对单车、单班次进行许可，直接将线路经营许可给企业，变更单车许可为线路许可，并重新核定经营期限和明确基本服务要求。实施运力整合的线路，按照起讫地变单车许可为线路许可，并重新核定经营期限及确定相关行政许可事项。</w:t>
      </w:r>
    </w:p>
    <w:p>
      <w:pPr>
        <w:pStyle w:val="44"/>
        <w:spacing w:before="190" w:after="190"/>
        <w:outlineLvl w:val="9"/>
      </w:pPr>
      <w:bookmarkStart w:id="64" w:name="_Toc317843312"/>
      <w:r>
        <w:rPr>
          <w:rFonts w:hint="eastAsia"/>
        </w:rPr>
        <w:t>（</w:t>
      </w:r>
      <w:r>
        <w:t>2</w:t>
      </w:r>
      <w:r>
        <w:rPr>
          <w:rFonts w:hint="eastAsia"/>
        </w:rPr>
        <w:t>）加强与其他运输方式的换乘衔接</w:t>
      </w:r>
      <w:bookmarkEnd w:id="64"/>
    </w:p>
    <w:p>
      <w:pPr>
        <w:ind w:firstLine="560"/>
      </w:pPr>
      <w:r>
        <w:rPr>
          <w:rFonts w:hint="eastAsia"/>
        </w:rPr>
        <w:t>加快现代客运体系建设，充分发挥道路客运的比较优势，进一步优化道路客运线网布局。探索、建立和形成多元化的农村客运运营机制，积极推进农村客运公交化运营。加强与铁路、民航运输的衔接，积极开展联乘联运，融入综合运输体系。加快“互联网＋”在道路客运的行业应用，推进服务转型升级。依托</w:t>
      </w:r>
      <w:r>
        <w:t>2015</w:t>
      </w:r>
      <w:r>
        <w:rPr>
          <w:rFonts w:hint="eastAsia"/>
        </w:rPr>
        <w:t>年</w:t>
      </w:r>
      <w:r>
        <w:t>12</w:t>
      </w:r>
      <w:r>
        <w:rPr>
          <w:rFonts w:hint="eastAsia"/>
        </w:rPr>
        <w:t>月丽水高铁站开通的契机，加快研究如何融入丽水综合运输体系，做好有效衔接，方便云和居民的中长途出行。</w:t>
      </w:r>
    </w:p>
    <w:p>
      <w:pPr>
        <w:ind w:firstLine="560"/>
      </w:pPr>
      <w:r>
        <w:rPr>
          <w:rFonts w:hint="eastAsia"/>
        </w:rPr>
        <w:t>加快城市客运班线与县域公交的衔接，合理解决客运站场乘客换乘问题，实现乘客到站以后能够便捷地使用公共交通去往想去的方向。因此，在客运站场周围合理布局县域公交线路。</w:t>
      </w:r>
    </w:p>
    <w:p>
      <w:pPr>
        <w:ind w:firstLine="560"/>
      </w:pPr>
      <w:r>
        <w:rPr>
          <w:rFonts w:hint="eastAsia"/>
        </w:rPr>
        <w:t>杭长高铁开通以后，云和县将打造多种运输方式与丽水高铁站进行衔接。构建以城际客运为主，其他方式为补充的客运网络体系。根据杭长高铁客运班线时刻表，合理规划城际客运班次，开通云和客运站－丽水高铁站－丽水客运站－云和客运站和云和－丽水高铁站直达客运班线。</w:t>
      </w:r>
    </w:p>
    <w:p>
      <w:pPr>
        <w:pStyle w:val="44"/>
        <w:spacing w:before="190" w:after="190"/>
        <w:outlineLvl w:val="9"/>
      </w:pPr>
      <w:bookmarkStart w:id="65" w:name="_Toc317843313"/>
      <w:r>
        <w:rPr>
          <w:rFonts w:hint="eastAsia"/>
        </w:rPr>
        <w:t>（</w:t>
      </w:r>
      <w:r>
        <w:t>3</w:t>
      </w:r>
      <w:r>
        <w:rPr>
          <w:rFonts w:hint="eastAsia"/>
        </w:rPr>
        <w:t>）创新城际客运运输组织模式</w:t>
      </w:r>
      <w:bookmarkEnd w:id="65"/>
    </w:p>
    <w:p>
      <w:pPr>
        <w:ind w:firstLine="560"/>
      </w:pPr>
      <w:r>
        <w:rPr>
          <w:rFonts w:hint="eastAsia"/>
        </w:rPr>
        <w:t>积极推进城际客运运输组织模式，创新客运企业自主组客方式。“十三五”末期，争取依托联网售票信息系统和企业自主售票网点，创新客运企业组客模式，为旅客提供高品质、个性化运输服务。实施互联网组客的企业可为乘客提供“门到门”接送延伸服务，切实发挥道路客运比较优势，积极打造定制班车、定制专车等个性化运输服务品牌，增强市场竞争力。</w:t>
      </w:r>
    </w:p>
    <w:p>
      <w:pPr>
        <w:ind w:firstLine="560"/>
      </w:pPr>
      <w:r>
        <w:rPr>
          <w:rFonts w:hint="eastAsia"/>
        </w:rPr>
        <w:t>“十三五”末期，依托云和县丰富的旅游资源开通旅游直通客运，为来云和旅游的游客，提供更多的交通方式选择。此外，也可开通城乡旅游公交支线，既可以作为城乡公交一种补充，也可以作为旅游交通方式的一种补充。</w:t>
      </w:r>
    </w:p>
    <w:p>
      <w:pPr>
        <w:pStyle w:val="44"/>
        <w:spacing w:before="190" w:after="190"/>
        <w:outlineLvl w:val="9"/>
      </w:pPr>
      <w:r>
        <w:rPr>
          <w:rFonts w:hint="eastAsia"/>
        </w:rPr>
        <w:t>（4）探索城际客运多元化服务之路</w:t>
      </w:r>
    </w:p>
    <w:p>
      <w:pPr>
        <w:ind w:firstLine="560"/>
      </w:pPr>
      <w:r>
        <w:rPr>
          <w:rFonts w:hint="eastAsia"/>
        </w:rPr>
        <w:t>为防止道路旅客运输客流量减少带来的经济效益的下滑，探索城际客运多元化服务已经成为当前道路运输客运企业发展战略的研究重点。客运业针对旅客运输淡季，将过剩的运力充分利用，可发展汽车租赁业，也可以依托各自的客运网络、高密度的客运班次和良好的车型车况稳步拓展快递业、快货运输业，“小件快运”也成为客运企业的利润增长点。</w:t>
      </w:r>
    </w:p>
    <w:p>
      <w:pPr>
        <w:pStyle w:val="44"/>
        <w:spacing w:before="190" w:after="190"/>
        <w:outlineLvl w:val="2"/>
      </w:pPr>
      <w:bookmarkStart w:id="66" w:name="_Toc317843325"/>
      <w:r>
        <w:t>6.</w:t>
      </w:r>
      <w:r>
        <w:rPr>
          <w:rFonts w:hint="eastAsia"/>
        </w:rPr>
        <w:t>1</w:t>
      </w:r>
      <w:r>
        <w:t>.2</w:t>
      </w:r>
      <w:r>
        <w:rPr>
          <w:rFonts w:hint="eastAsia"/>
        </w:rPr>
        <w:t>城乡客运</w:t>
      </w:r>
      <w:bookmarkEnd w:id="66"/>
    </w:p>
    <w:p>
      <w:pPr>
        <w:pStyle w:val="44"/>
        <w:spacing w:before="190" w:after="190"/>
        <w:outlineLvl w:val="9"/>
      </w:pPr>
      <w:bookmarkStart w:id="67" w:name="_Toc317843326"/>
      <w:r>
        <w:rPr>
          <w:rFonts w:hint="eastAsia"/>
        </w:rPr>
        <w:t>（1）合理规划城乡客运网络</w:t>
      </w:r>
      <w:bookmarkEnd w:id="67"/>
    </w:p>
    <w:p>
      <w:pPr>
        <w:ind w:firstLine="560"/>
      </w:pPr>
      <w:r>
        <w:rPr>
          <w:rFonts w:hint="eastAsia"/>
        </w:rPr>
        <w:t>争取到</w:t>
      </w:r>
      <w:r>
        <w:t>2020</w:t>
      </w:r>
      <w:r>
        <w:rPr>
          <w:rFonts w:hint="eastAsia"/>
        </w:rPr>
        <w:t>年末期，云和将形成县城内公交网、县城与乡镇间客运网、乡镇与乡镇、乡镇与村、村与村间客运网络，以及可延伸至大部分建制村的出租车客运网络，即合理规划县城内公交线路走向和站点，根据县城发展规划延伸、拓展到城区边缘，便于换乘。对衔接县城至各乡镇的客运网络分片合理设置。合理构建乡镇之间、乡镇与村之间、村与村之间的客运网络。</w:t>
      </w:r>
    </w:p>
    <w:p>
      <w:pPr>
        <w:pStyle w:val="44"/>
        <w:spacing w:before="190" w:after="190"/>
        <w:outlineLvl w:val="9"/>
      </w:pPr>
      <w:bookmarkStart w:id="68" w:name="_Toc317843327"/>
      <w:r>
        <w:rPr>
          <w:rFonts w:hint="eastAsia"/>
        </w:rPr>
        <w:t>（2）合理分配城乡客运运力配置</w:t>
      </w:r>
      <w:bookmarkEnd w:id="68"/>
    </w:p>
    <w:p>
      <w:pPr>
        <w:ind w:firstLine="560"/>
      </w:pPr>
      <w:r>
        <w:rPr>
          <w:rFonts w:hint="eastAsia"/>
        </w:rPr>
        <w:t>合理分配客运运力配置，城乡客运线网运力的合理配置，是新时代背景下城乡公共客运健康有序发展的要求。科学合理的运力配置不仅能给居民出行带来方便，而且能有效利用资源，提高客运运输效率和经营企业的经济效益。因此，云和县在对客流特征深入细致调查的基础上，做出合理的客运运力配置。</w:t>
      </w:r>
    </w:p>
    <w:p>
      <w:pPr>
        <w:pStyle w:val="44"/>
        <w:spacing w:before="190" w:after="190"/>
        <w:outlineLvl w:val="9"/>
      </w:pPr>
      <w:bookmarkStart w:id="69" w:name="_Toc317843328"/>
      <w:r>
        <w:rPr>
          <w:rFonts w:hint="eastAsia"/>
        </w:rPr>
        <w:t>（3）加大城乡客运补助力度，完善城乡客运绩效考核体系</w:t>
      </w:r>
      <w:bookmarkEnd w:id="69"/>
    </w:p>
    <w:p>
      <w:pPr>
        <w:ind w:firstLine="560"/>
      </w:pPr>
      <w:r>
        <w:rPr>
          <w:rFonts w:hint="eastAsia"/>
        </w:rPr>
        <w:t>继续实施城乡客运“以奖代补”政策。云和县政府也要加大投入，公共财政向城乡客运倾斜。城乡客运一体化发展指标纳入全县文明城市考核指标、地方党政主要领导干部实绩考核指标，成为县政府承诺的为民办实事项目，层层落实责任制。</w:t>
      </w:r>
    </w:p>
    <w:p>
      <w:pPr>
        <w:pStyle w:val="44"/>
        <w:spacing w:before="190" w:after="190"/>
        <w:outlineLvl w:val="9"/>
      </w:pPr>
      <w:bookmarkStart w:id="70" w:name="_Toc317843329"/>
      <w:r>
        <w:rPr>
          <w:rFonts w:hint="eastAsia"/>
        </w:rPr>
        <w:t>（4）加快全县城乡客运相关内容的科学研究</w:t>
      </w:r>
      <w:bookmarkEnd w:id="70"/>
    </w:p>
    <w:p>
      <w:pPr>
        <w:ind w:firstLine="560"/>
      </w:pPr>
      <w:r>
        <w:rPr>
          <w:rFonts w:hint="eastAsia"/>
        </w:rPr>
        <w:t>“十三五”期间，云和县交通运输部门应加快对全县居民出行调查，掌握云和县城乡居民出行特点，针对居民出行特点进行科学研究，为规划城乡客运线网，进行城市综合交通体系建设提供坚实的数据支持，更好地指导有关部门管理工作，优化线网布局，合理投放运力资源，为政府交通运输工作决策提供科学依据。</w:t>
      </w:r>
    </w:p>
    <w:p>
      <w:pPr>
        <w:pStyle w:val="44"/>
        <w:spacing w:before="190" w:after="190"/>
        <w:outlineLvl w:val="9"/>
      </w:pPr>
      <w:r>
        <w:rPr>
          <w:rFonts w:hint="eastAsia"/>
        </w:rPr>
        <w:t>（5）推行多种客运模式，提高城乡客运经济效益</w:t>
      </w:r>
    </w:p>
    <w:p>
      <w:pPr>
        <w:ind w:firstLine="560"/>
      </w:pPr>
      <w:r>
        <w:rPr>
          <w:rFonts w:hint="eastAsia"/>
        </w:rPr>
        <w:t>农村客运线网是城乡公共客运网络一部分，它既体现一定的社会公益性，又要保证经营在一定条件下的经济效益。因此，“十三五”期间，要对云和县农村客运班线进行摸底调查，对区域内客源极不稳定、无法维持正常班线运营的边远行政村，允许采用灵活机动的运营方式，可不执行定班、定点、定线的“三定”原则，实行“双日班”、“赶集班”等定制班线形式，既可保证农民的出行需求，提高车辆实载率，又可以降低车辆运营成本。对客运企业缺乏投入运力积极性的线路，县政府进行一定程度的经济补贴，或采取“政府购买服务”的方式，帮助维持客运企业的正常生存，兼顾城乡客运的“公益性”，确保农村居民的基本出行。</w:t>
      </w:r>
    </w:p>
    <w:p>
      <w:pPr>
        <w:ind w:firstLine="0" w:firstLineChars="0"/>
      </w:pPr>
    </w:p>
    <w:p>
      <w:pPr>
        <w:pStyle w:val="44"/>
        <w:spacing w:before="190" w:after="190"/>
        <w:outlineLvl w:val="2"/>
      </w:pPr>
      <w:bookmarkStart w:id="71" w:name="_Toc317843320"/>
      <w:r>
        <w:t>6.</w:t>
      </w:r>
      <w:r>
        <w:rPr>
          <w:rFonts w:hint="eastAsia"/>
        </w:rPr>
        <w:t>1</w:t>
      </w:r>
      <w:r>
        <w:t>.</w:t>
      </w:r>
      <w:r>
        <w:rPr>
          <w:rFonts w:hint="eastAsia"/>
        </w:rPr>
        <w:t>3城市公共交通</w:t>
      </w:r>
      <w:bookmarkEnd w:id="71"/>
    </w:p>
    <w:p>
      <w:pPr>
        <w:pStyle w:val="44"/>
        <w:spacing w:before="190" w:after="190"/>
        <w:outlineLvl w:val="9"/>
      </w:pPr>
      <w:bookmarkStart w:id="72" w:name="_Toc317843321"/>
      <w:r>
        <w:rPr>
          <w:rFonts w:hint="eastAsia"/>
        </w:rPr>
        <w:t>（1）完善公交优先政策制度</w:t>
      </w:r>
      <w:bookmarkEnd w:id="72"/>
    </w:p>
    <w:p>
      <w:pPr>
        <w:ind w:firstLine="560"/>
        <w:rPr>
          <w:rFonts w:ascii="宋体" w:hAnsi="宋体"/>
          <w:szCs w:val="32"/>
        </w:rPr>
      </w:pPr>
      <w:r>
        <w:rPr>
          <w:rFonts w:hint="eastAsia"/>
        </w:rPr>
        <w:t>城市公共交通是满足人民群众基本出行的社会公益性事业，是交通运输服务业的重要组成部分，与人民群众生产生活息息相关，与城市运行和经济发展密不可分，是一项重大的民生工程。因此，对于这项道路运输公益事业，“十三五”期间，云和县城市公共交通发展坚持政府购买服务这一举措进行，对于</w:t>
      </w:r>
      <w:r>
        <w:t>70</w:t>
      </w:r>
      <w:r>
        <w:rPr>
          <w:rFonts w:hint="eastAsia"/>
        </w:rPr>
        <w:t>周岁以上老人、残疾人、离休老干部、伤残军人等特殊群体享受政府福利性免费乘车服务的费用政府给予全额补贴。学生、</w:t>
      </w:r>
      <w:r>
        <w:t>60-69</w:t>
      </w:r>
      <w:r>
        <w:rPr>
          <w:rFonts w:hint="eastAsia"/>
        </w:rPr>
        <w:t>周岁老年人等乘车所享受优惠部分的费用，政府实行差额补贴。此外，承担城市公交服务，新辟线路和开通冷僻线路等收入不足以弥补成本的部分，由政府适当补贴。</w:t>
      </w:r>
      <w:r>
        <w:rPr>
          <w:rFonts w:hint="eastAsia" w:ascii="宋体" w:hAnsi="宋体"/>
          <w:szCs w:val="32"/>
        </w:rPr>
        <w:t>城市公共交通作为一项社会公益事业，落实“公交优先”战略首先要健全公共交通政策规制体系，发挥政府主导作用，通过制定《云和县发展城市公共交通资金补助办法》、《关于优先发展城市公交实施意见》等相关政策，明确云和县每年用于城市公共交通发展资金保障的提取比例、土地保障、路权优先等政策措施，从政策上保证公共交通建设及配套资金的落实。此外，完善政府和银行信贷投融资方法，加强企业融资能力和造血功能。制定《云和县公共交通绩效评价体系》，明确云和县城市公共交通发展各相关部门的权责范围，建立公共交通优先发展督查考核机制，建立规范的成本费用评价体系和政策性亏损评估体系，对公共交通企业的成本和费用进行年度审计与评价，合理界定和计算政策性亏损，并给予补助，解决城市公交企业由于承担社会福利而出现的效率低下问题。</w:t>
      </w:r>
    </w:p>
    <w:p>
      <w:pPr>
        <w:pStyle w:val="44"/>
        <w:spacing w:before="190" w:after="190"/>
        <w:outlineLvl w:val="9"/>
      </w:pPr>
      <w:bookmarkStart w:id="73" w:name="_Toc317843322"/>
      <w:r>
        <w:rPr>
          <w:rFonts w:hint="eastAsia"/>
        </w:rPr>
        <w:t>（2）强化公交规划实施衔接</w:t>
      </w:r>
      <w:bookmarkEnd w:id="73"/>
    </w:p>
    <w:p>
      <w:pPr>
        <w:ind w:firstLine="560"/>
        <w:rPr>
          <w:rFonts w:ascii="宋体" w:hAnsi="宋体"/>
          <w:szCs w:val="32"/>
        </w:rPr>
      </w:pPr>
      <w:r>
        <w:rPr>
          <w:rFonts w:hint="eastAsia" w:ascii="宋体" w:hAnsi="宋体"/>
          <w:szCs w:val="32"/>
        </w:rPr>
        <w:t>强化规划研究的引领作用，在公交线网规划、公交基础设施建设过程中要强调与云和县城市总体规划、城市综合交通规划、云和县综合交通规划与城市公共交通规划的衔接，构建完善的公共交通规划体系。借助《云和县城市总体规划》修编的契机，按照公共交通引领城市发展的规划原则，明确云和县城市公共交通基础设施建设用地保证及与城市发展相关配套设施资源的合理配置。</w:t>
      </w:r>
    </w:p>
    <w:p>
      <w:pPr>
        <w:pStyle w:val="44"/>
        <w:spacing w:before="190" w:after="190"/>
        <w:outlineLvl w:val="9"/>
      </w:pPr>
      <w:bookmarkStart w:id="74" w:name="_Toc317843323"/>
      <w:r>
        <w:rPr>
          <w:rFonts w:hint="eastAsia"/>
        </w:rPr>
        <w:t>（3）加强政策业务技术研究</w:t>
      </w:r>
      <w:bookmarkEnd w:id="74"/>
    </w:p>
    <w:p>
      <w:pPr>
        <w:ind w:firstLine="560"/>
        <w:rPr>
          <w:rFonts w:ascii="宋体" w:hAnsi="宋体"/>
          <w:szCs w:val="32"/>
        </w:rPr>
      </w:pPr>
      <w:r>
        <w:rPr>
          <w:rFonts w:hint="eastAsia" w:ascii="宋体" w:hAnsi="宋体"/>
          <w:szCs w:val="32"/>
        </w:rPr>
        <w:t>加强公交行业智库建设。招揽城市公共交通相关领域较有研究的机构和人员，针对云和县城市公共交通面临的问题，为政府决策层提供城市公共交通体系快速发展的科学意见和建议，提出“公交优先”战略实施的措施意见。加快《关于优先发展云和县城市公交实施意见》及《关于加快县域公交站场建设的意见》等配套政策的出台，加快云和居民出行调查的工作进度，为云和县优先发展公共交通奠定坚实的基础。</w:t>
      </w:r>
    </w:p>
    <w:p>
      <w:pPr>
        <w:pStyle w:val="44"/>
        <w:spacing w:before="190" w:after="190"/>
        <w:outlineLvl w:val="9"/>
      </w:pPr>
      <w:bookmarkStart w:id="75" w:name="_Toc317843324"/>
      <w:r>
        <w:rPr>
          <w:rFonts w:hint="eastAsia"/>
        </w:rPr>
        <w:t>（4）加快公交智能化建设，打造智慧公交</w:t>
      </w:r>
      <w:bookmarkEnd w:id="75"/>
    </w:p>
    <w:p>
      <w:pPr>
        <w:ind w:firstLine="560"/>
        <w:rPr>
          <w:rFonts w:ascii="宋体" w:hAnsi="宋体"/>
          <w:szCs w:val="32"/>
        </w:rPr>
      </w:pPr>
      <w:r>
        <w:rPr>
          <w:rFonts w:hint="eastAsia" w:ascii="宋体" w:hAnsi="宋体"/>
          <w:szCs w:val="32"/>
        </w:rPr>
        <w:t>为了提升云和县公交智能化，提高公交管理效率，加快城市公交出行信息服务系统的构建。在主城区范围内建设电子站牌系统，实时显示首末班车时间、车辆发车、运行、离站距离和进站等情况，方便群众出行。</w:t>
      </w:r>
    </w:p>
    <w:p>
      <w:pPr>
        <w:pStyle w:val="44"/>
        <w:spacing w:before="190" w:after="190"/>
        <w:outlineLvl w:val="9"/>
      </w:pPr>
      <w:r>
        <w:rPr>
          <w:rFonts w:hint="eastAsia"/>
        </w:rPr>
        <w:t>（5）加快推进政府购买服务，加大民生投入</w:t>
      </w:r>
    </w:p>
    <w:p>
      <w:pPr>
        <w:ind w:firstLine="560"/>
        <w:rPr>
          <w:rFonts w:ascii="宋体" w:hAnsi="宋体"/>
          <w:szCs w:val="32"/>
        </w:rPr>
      </w:pPr>
      <w:r>
        <w:rPr>
          <w:rFonts w:hint="eastAsia" w:ascii="宋体" w:hAnsi="宋体"/>
          <w:szCs w:val="32"/>
        </w:rPr>
        <w:t>城市公共交通作为一项民生工程，具有很强的公益性。因此，需要政府在财政投入方面有一定的倾向。因此，在发展云和县城市公共交通方面应充分发挥政府主导性作用，以“政府购买服务”的方式，解决群众公共出行问题。但政府在资金投入的同时，也要兼顾一定社会经济效益。因此，“十三五”期间，建立一套完善的公共交通绩效评价机制，主要对两方面进行绩效评价：政府管理绩效评价和公交企业绩效评价。政府管理绩效评价主要评价云和县政府在公交基础设施的规划、公共资源的投放以及公交政策的制定上要做到有的放矢，提高效率。公交企业绩效评价主要对企业内容进行评价，同时还要评价云和县公交企业外部效益和服务的投入。</w:t>
      </w:r>
    </w:p>
    <w:p>
      <w:pPr>
        <w:pStyle w:val="44"/>
        <w:spacing w:before="190" w:after="190"/>
        <w:outlineLvl w:val="2"/>
      </w:pPr>
      <w:bookmarkStart w:id="76" w:name="_Toc317843314"/>
      <w:r>
        <w:t>6.1.</w:t>
      </w:r>
      <w:r>
        <w:rPr>
          <w:rFonts w:hint="eastAsia"/>
        </w:rPr>
        <w:t>4旅游包车客运</w:t>
      </w:r>
      <w:bookmarkEnd w:id="76"/>
    </w:p>
    <w:p>
      <w:pPr>
        <w:ind w:firstLine="560"/>
      </w:pPr>
      <w:r>
        <w:rPr>
          <w:rFonts w:hint="eastAsia"/>
        </w:rPr>
        <w:t>“十三五”是云和县旅游产业不断壮大的重要时期，随着全县加快发展旅游业战略的实施，全县掀起提升旅游景区品牌，扩大旅游产品宣传的热潮。为了提升旅游产品服务水平，旅游包车客运以其灵活、便捷、优价的特点迅速抢占旅游客运市场份额。云和县依托云和梯田、云和湖仙宫景区等几个</w:t>
      </w:r>
      <w:r>
        <w:t>4A</w:t>
      </w:r>
      <w:r>
        <w:rPr>
          <w:rFonts w:hint="eastAsia"/>
        </w:rPr>
        <w:t>景区项目的开发以及周边县市景区的开发，大力发展旅游包车业务。</w:t>
      </w:r>
    </w:p>
    <w:p>
      <w:pPr>
        <w:ind w:firstLine="560"/>
      </w:pPr>
      <w:r>
        <w:rPr>
          <w:rFonts w:hint="eastAsia"/>
        </w:rPr>
        <w:t>“十三五”期间，云和县计划出台《云和县旅游包车发展指导意见》明确旅游包车运力发展的原则、方式、程序，提高转型发展的科学合理性和超前引导作用。由于旅游包车是属于自由市场行为，因此，道路运输行业管理部门不应在旅游价格、企业数量上加以限制而是由市场来做决定，主要做好三方面工作：</w:t>
      </w:r>
    </w:p>
    <w:p>
      <w:pPr>
        <w:ind w:firstLine="560"/>
      </w:pPr>
      <w:r>
        <w:rPr>
          <w:rFonts w:hint="eastAsia"/>
        </w:rPr>
        <w:t>一方面，加快制定旅游包车行业市场准入和退出机制，主要对进入云和县旅游包车市场企业的规模、资金、车辆等要素做一定的要求。同时，每年对旅游包车企业进行企业质量信誉考核，凡经考核不合格的企业经整改仍不合格且存在重大安全隐患的，按照规定可以吊销其相应道路运输经营许可范围，制定出符合云和县旅游包车良性发展的退出机制。</w:t>
      </w:r>
    </w:p>
    <w:p>
      <w:pPr>
        <w:ind w:firstLine="560"/>
      </w:pPr>
      <w:r>
        <w:rPr>
          <w:rFonts w:hint="eastAsia"/>
        </w:rPr>
        <w:t>另一方面，合理的旅游包车企业信用考核机制是市场准入退出机制的坚实基础，在制定准入退出机制的同时要制定合理的旅游包车企业质量信用考核机制。在机制的制定上要符合云和县旅游发展特色，秉持公平、公正、合理的原则对企业进行考核。</w:t>
      </w:r>
    </w:p>
    <w:p>
      <w:pPr>
        <w:ind w:firstLine="560"/>
      </w:pPr>
      <w:r>
        <w:rPr>
          <w:rFonts w:hint="eastAsia"/>
        </w:rPr>
        <w:t>第三方面，定期发布旅游包车市场信息，准确掌握旅游客运市场运行动态，全面科学地分析客运市场供求状况，及时发布旅游市场信息和市场运力供求状况，指导企业生产经营。同时定期向社会公布旅游客运企业信用考核结果。行业管理部门定期到企业对服务质量工作进行明察暗访，将检查结果予以公布，供社会、媒体、群众监督。</w:t>
      </w:r>
    </w:p>
    <w:p>
      <w:pPr>
        <w:ind w:firstLine="560"/>
      </w:pPr>
      <w:r>
        <w:rPr>
          <w:rFonts w:hint="eastAsia"/>
        </w:rPr>
        <w:t>通过这三种手段逐步引导云和县旅游包车企业向规范化、集约化方向发展。有效提高市场竞争力。同时，发挥客运站的旅游集散功能，在客运站布局规划过程中还将兼顾旅游集散功能，逐步将等级客运站建设为区域性的旅游集散中心，引导和鼓励社会车辆、自驾游及背包客充分利用云和县旅游包车资源，在对游客流量流向充分调研的基础上。在云和县客运中心、丽水高铁站等地设立旅游集散中心，依托旅游包车服务引导公众选择旅游公共资源，有效减少私家车出游，缓解城市交通压力。此外，拓展客运站的旅游服务功能，并提供宾馆、汽车租赁、餐饮等延伸服务。</w:t>
      </w:r>
    </w:p>
    <w:p>
      <w:pPr>
        <w:pStyle w:val="44"/>
        <w:spacing w:before="190" w:after="190"/>
        <w:outlineLvl w:val="2"/>
      </w:pPr>
      <w:bookmarkStart w:id="77" w:name="_Toc317843315"/>
      <w:r>
        <w:t>6.1.</w:t>
      </w:r>
      <w:r>
        <w:rPr>
          <w:rFonts w:hint="eastAsia"/>
        </w:rPr>
        <w:t>5出租汽车</w:t>
      </w:r>
      <w:bookmarkEnd w:id="77"/>
    </w:p>
    <w:p>
      <w:pPr>
        <w:ind w:firstLine="560"/>
        <w:rPr>
          <w:color w:val="000000" w:themeColor="text1"/>
          <w14:textFill>
            <w14:solidFill>
              <w14:schemeClr w14:val="tx1"/>
            </w14:solidFill>
          </w14:textFill>
        </w:rPr>
      </w:pPr>
      <w:r>
        <w:rPr>
          <w:rFonts w:hint="eastAsia"/>
        </w:rPr>
        <w:t>出租车市场是云和县道路运输发展中较为棘手的一个领域，面对复杂多变的市场环境，以及“互联网＋”时代的到来对于传统出租车市场的影响也是颠覆性的。传统出租车市场如何转型升级也是“十三五”期间管理部门继续研究的课题。云和县作为一个县级城市出租车市场需求量并不是很大，但需求仍然存在。因此，管理部门应做好云和县出租车市场定位。根据目前云和县县域规模和人口规模来看出租车市场从行业定位来看它可以作为公共交通的补充，在有限发展公共交通的同时，应适度发展出租车，为人民群众提供个性化出行服务。</w:t>
      </w:r>
    </w:p>
    <w:p>
      <w:pPr>
        <w:ind w:firstLine="560"/>
      </w:pPr>
      <w:r>
        <w:rPr>
          <w:rFonts w:hint="eastAsia"/>
        </w:rPr>
        <w:t>适当发展约租模式，约租是一种较为先进的出租车组织模式，普遍采用电话预约的方式进行管理。目前云和县已经存在实际意义上的约租，约租可以降低出租车空驶率，降低司机运营成本，减少对环境的污染。这也是国外普遍采用的一种出租车组织模式。</w:t>
      </w:r>
    </w:p>
    <w:p>
      <w:pPr>
        <w:ind w:firstLine="560"/>
      </w:pPr>
      <w:r>
        <w:rPr>
          <w:rFonts w:hint="eastAsia"/>
        </w:rPr>
        <w:t>目前云和县出租车公司采用的主要是挂靠经营的公司运营模式，司机拥有车辆的产权，一切经营费用都由司机自己打理，按月向公司和国家上交管理费和各项税收。但这一种经营模式不利于出租车服务质量的提高。因此，道路运输管理部门要督促出租车公司建立一套完整的出租车驾驶员服务质量考核体系，每年对公司出租车驾驶员进行服务质量考核，对考核不通过或者乘客投诉意见较多的驾驶员，出租车应采取终止挂靠经营等处罚措施。</w:t>
      </w:r>
    </w:p>
    <w:p>
      <w:pPr>
        <w:ind w:firstLine="560"/>
      </w:pPr>
      <w:r>
        <w:rPr>
          <w:rFonts w:hint="eastAsia"/>
        </w:rPr>
        <w:t>对于出租车司机的监管，仅仅只是依靠出租车公司是不够的，“十三五”期间将加大对出租车科技监管的手段，通过一些科技设备的使用，加强对出租车驾驶员的监管，提高出租车服务标准，限制出租车驾驶员经营范围，提升云和县公共交通整体形象。此外，加快云和县出租车服务信息平台与上级管理部门平台对接，加强对违法违规行为的智能化监管，提升行业监管效率和治理能力。出租车驾驶员服务质量考核及征信体系、信用记录将纳入平台，提升全县出租车行业服务满意度。</w:t>
      </w:r>
    </w:p>
    <w:p>
      <w:pPr>
        <w:pStyle w:val="44"/>
        <w:spacing w:before="190" w:after="190"/>
        <w:outlineLvl w:val="2"/>
      </w:pPr>
      <w:bookmarkStart w:id="78" w:name="_Toc317843316"/>
      <w:r>
        <w:t>6.1.</w:t>
      </w:r>
      <w:r>
        <w:rPr>
          <w:rFonts w:hint="eastAsia"/>
        </w:rPr>
        <w:t>6汽车租赁</w:t>
      </w:r>
      <w:bookmarkEnd w:id="78"/>
    </w:p>
    <w:p>
      <w:pPr>
        <w:ind w:firstLine="560"/>
        <w:rPr>
          <w:b/>
        </w:rPr>
      </w:pPr>
      <w:r>
        <w:rPr>
          <w:rFonts w:hint="eastAsia"/>
        </w:rPr>
        <w:t>汽车租赁市场是一个新兴产业，目前云和县汽车租赁市场起步较晚、规模仍比较小。但随着人民生活水平的提高，汽车租赁市场随着云和县社会经济的不断发展和居民对汽车消费的日益理性而发展壮大。云和县道路运输管理部门应推动汽车租赁企业规模化、网络化、品牌化经营，鼓励汽车租赁企业通过整合、兼并等手段做大做强，建立具有一定市场竞争力的汽车租赁品牌。“十三五”期间，云和县尽快出台《关于进一步加强云和县汽车租赁企业规范经营的通知》，对汽车租赁企业在运用互联网租车推广和规范经营方面明确提出相关规定和要求。严格汽车租赁经营备案制度，强调汽车租赁企业要依法执行各项相关管理规定，严禁非法从事汽车租赁经营，重申租赁车辆证照一致的根本原则。</w:t>
      </w:r>
    </w:p>
    <w:p>
      <w:pPr>
        <w:pStyle w:val="3"/>
        <w:snapToGrid w:val="0"/>
        <w:spacing w:before="190" w:after="190" w:line="240" w:lineRule="auto"/>
      </w:pPr>
      <w:bookmarkStart w:id="79" w:name="_Toc317843317"/>
      <w:bookmarkStart w:id="80" w:name="_Toc340220213"/>
      <w:r>
        <w:t>6.</w:t>
      </w:r>
      <w:r>
        <w:rPr>
          <w:rFonts w:hint="eastAsia"/>
        </w:rPr>
        <w:t>2</w:t>
      </w:r>
      <w:bookmarkEnd w:id="79"/>
      <w:r>
        <w:rPr>
          <w:rFonts w:hint="eastAsia"/>
        </w:rPr>
        <w:t>道路货物运输（物流）发展重点</w:t>
      </w:r>
      <w:bookmarkEnd w:id="80"/>
    </w:p>
    <w:p>
      <w:pPr>
        <w:pStyle w:val="44"/>
        <w:spacing w:before="190" w:after="190"/>
        <w:outlineLvl w:val="9"/>
      </w:pPr>
      <w:r>
        <w:rPr>
          <w:rFonts w:hint="eastAsia"/>
        </w:rPr>
        <w:t>（1）培育和扶持物流基地建设</w:t>
      </w:r>
    </w:p>
    <w:p>
      <w:pPr>
        <w:ind w:firstLine="560"/>
      </w:pPr>
      <w:r>
        <w:rPr>
          <w:rFonts w:hint="eastAsia"/>
        </w:rPr>
        <w:t>加快构建以物流园区为核心、配送中心为基础，以农村物流配送点为延伸的一体化现代物流体系。重点建设城市配送体系和城乡配送体系。“十三五”期间，云和县将打造一个物流中心，重点建设成为公共型物流配送中心。构建以物流中心为骨干，农村物流站点为补充的物流节点网络体系。</w:t>
      </w:r>
    </w:p>
    <w:p>
      <w:pPr>
        <w:pStyle w:val="44"/>
        <w:spacing w:before="190" w:after="190"/>
        <w:outlineLvl w:val="9"/>
      </w:pPr>
      <w:r>
        <w:rPr>
          <w:rFonts w:hint="eastAsia"/>
        </w:rPr>
        <w:t>（2）扶持物流龙头企业发展</w:t>
      </w:r>
    </w:p>
    <w:p>
      <w:pPr>
        <w:ind w:firstLine="560"/>
      </w:pPr>
      <w:r>
        <w:rPr>
          <w:rFonts w:hint="eastAsia"/>
        </w:rPr>
        <w:t>建立物流发展设施平台。整合物流企业资源，提高运输企业活力和物流发展设施平台技术水平。此外，培育物流龙头企业，提升物流服务供给能力。引导云和县物流企业向规模化、集约化方向发展，重点培养最具规模实力、能够主导云和市场发展方向的大型物流企业，加快传统货运企业向现代物流企业转型。计划在“十三五”期间，培育2-3家服务县域经济和农村物流的县级现代物流龙头企业。</w:t>
      </w:r>
    </w:p>
    <w:p>
      <w:pPr>
        <w:pStyle w:val="44"/>
        <w:spacing w:before="190" w:after="190"/>
        <w:outlineLvl w:val="9"/>
      </w:pPr>
      <w:r>
        <w:rPr>
          <w:rFonts w:hint="eastAsia"/>
        </w:rPr>
        <w:t>（3）加快同城物流发展</w:t>
      </w:r>
    </w:p>
    <w:p>
      <w:pPr>
        <w:ind w:firstLine="560"/>
      </w:pPr>
      <w:r>
        <w:rPr>
          <w:rFonts w:hint="eastAsia"/>
        </w:rPr>
        <w:t>“十三五”期间，除了对外货运物流的发展，云和县还将加快同城物流的发展。随着电子商务的迅猛发展，以及云和当地特色产业发展的需求，同城物流已经成为降低企业运输成本，增加企业生产效益的有效途径。以目前云和县最大支柱产业木制玩具为例，由于当前云和县同城物流发展不足，导致了企业物流成本一直无法降低，物流服务水平也无法得到提高。因此，到“十三五”末，云和县将引进1-2家专业型同城物流企业，为当地特色产业的发展提供专业、科学、合理、高效的物流服务。</w:t>
      </w:r>
    </w:p>
    <w:p>
      <w:pPr>
        <w:pStyle w:val="44"/>
        <w:spacing w:before="190" w:after="190"/>
        <w:outlineLvl w:val="9"/>
      </w:pPr>
      <w:r>
        <w:rPr>
          <w:rFonts w:hint="eastAsia"/>
        </w:rPr>
        <w:t>（4）构建信息平台，提高物流信息化水平</w:t>
      </w:r>
    </w:p>
    <w:p>
      <w:pPr>
        <w:ind w:firstLine="560"/>
      </w:pPr>
      <w:r>
        <w:rPr>
          <w:rFonts w:hint="eastAsia"/>
        </w:rPr>
        <w:t>信息化是现代物流的灵魂，没有信息化就谈不上物流的现代化。因此要提高物流业的信息化水平，鼓励对接浙江省物流公共信息平台，积极推广“电子商务与现代物流示范工程”，大力发展其示范效应，从实际出发，与物流业流程的改造、整合密切结合起来，要把信息资源的开发应用放在重要位置。争取通过5年的时间，县重点联系物流企业60%使用物流信息管理系统处理物流业务，与重要物流及相关信息系统基本联网。</w:t>
      </w:r>
    </w:p>
    <w:p>
      <w:pPr>
        <w:pStyle w:val="44"/>
        <w:spacing w:before="190" w:after="190"/>
        <w:outlineLvl w:val="9"/>
      </w:pPr>
      <w:r>
        <w:rPr>
          <w:rFonts w:hint="eastAsia"/>
        </w:rPr>
        <w:t>（5）加快物流人才引进及培育</w:t>
      </w:r>
    </w:p>
    <w:p>
      <w:pPr>
        <w:ind w:firstLine="560"/>
      </w:pPr>
      <w:r>
        <w:rPr>
          <w:rFonts w:hint="eastAsia"/>
        </w:rPr>
        <w:t>加快引进和培育物流专业人才。充分发挥现有省内院校教育资源，组织实施物流专业人才的引进和培育工作，为云和县货运物流建设提供一定的人才保障。同时，加强校企合作，在交通物流基地和龙头企业建立实训基地，培养企业需要的技能型人才。</w:t>
      </w:r>
    </w:p>
    <w:p>
      <w:pPr>
        <w:pStyle w:val="3"/>
        <w:snapToGrid w:val="0"/>
        <w:spacing w:before="190" w:after="190" w:line="240" w:lineRule="auto"/>
      </w:pPr>
      <w:bookmarkStart w:id="81" w:name="_Toc317843318"/>
      <w:bookmarkStart w:id="82" w:name="_Toc340220214"/>
      <w:r>
        <w:t>6.</w:t>
      </w:r>
      <w:r>
        <w:rPr>
          <w:rFonts w:hint="eastAsia"/>
        </w:rPr>
        <w:t>3机动车维修</w:t>
      </w:r>
      <w:bookmarkEnd w:id="81"/>
      <w:r>
        <w:rPr>
          <w:rFonts w:hint="eastAsia"/>
        </w:rPr>
        <w:t>发展重点</w:t>
      </w:r>
      <w:bookmarkEnd w:id="82"/>
    </w:p>
    <w:p>
      <w:pPr>
        <w:ind w:firstLine="560"/>
      </w:pPr>
      <w:r>
        <w:rPr>
          <w:rFonts w:hint="eastAsia"/>
        </w:rPr>
        <w:t>“十三五”期间，加快机动车维修行业管理，打造规范经营、诚实信用、技术先进、服务透明、与云和县社会经济发展需要相适应的汽车维修市场体系，建立布局合理、环保有序、能够为社会提供多层次多形式的“全品牌、全方位、全过程”的维修网络体系。</w:t>
      </w:r>
    </w:p>
    <w:p>
      <w:pPr>
        <w:ind w:firstLine="560"/>
        <w:rPr>
          <w:b/>
        </w:rPr>
      </w:pPr>
      <w:r>
        <w:rPr>
          <w:rFonts w:hint="eastAsia"/>
        </w:rPr>
        <w:t>鼓励机动车维修连锁经营。大力倡导机动车维修企业的加盟连锁经营，树立维修品牌，统一服务质量标准，开展服务质量达标活动，提高服务水平。鼓励企业依托品牌优势积极拓展电话咨询、维修、检测、救援等全方位服务。鼓励维修企业走规范型、专业型发展之路的前提条件，是要帮助企业解决土地这一制约因素。因此，在维修企业解决土地问题方面，相关部门应给予一定的政策扶持，帮助企业解决后顾之忧。</w:t>
      </w:r>
    </w:p>
    <w:p>
      <w:pPr>
        <w:ind w:firstLine="560"/>
      </w:pPr>
      <w:r>
        <w:rPr>
          <w:rFonts w:hint="eastAsia"/>
        </w:rPr>
        <w:t>根据对全县主要车型的统计调查，在“十三五”期间内引进能完成主流车型各类维修业务和主要车型的维护、小修业务能力的维修企业，汽车维修市场基本达到供需平衡的状态。此外，兼顾货运车辆的维修需求，引进专业型货运车辆维修企业，基本解决货运车辆“维修难”的问题。</w:t>
      </w:r>
    </w:p>
    <w:p>
      <w:pPr>
        <w:pStyle w:val="3"/>
        <w:snapToGrid w:val="0"/>
        <w:spacing w:before="190" w:after="190" w:line="240" w:lineRule="auto"/>
      </w:pPr>
      <w:bookmarkStart w:id="83" w:name="_Toc317843330"/>
      <w:bookmarkStart w:id="84" w:name="_Toc340220215"/>
      <w:r>
        <w:t>6.</w:t>
      </w:r>
      <w:r>
        <w:rPr>
          <w:rFonts w:hint="eastAsia"/>
        </w:rPr>
        <w:t>4道路运输行业监管</w:t>
      </w:r>
      <w:bookmarkEnd w:id="83"/>
      <w:r>
        <w:rPr>
          <w:rFonts w:hint="eastAsia"/>
        </w:rPr>
        <w:t>发展重点</w:t>
      </w:r>
      <w:bookmarkEnd w:id="84"/>
    </w:p>
    <w:p>
      <w:pPr>
        <w:pStyle w:val="44"/>
        <w:spacing w:before="190" w:after="190"/>
        <w:outlineLvl w:val="9"/>
      </w:pPr>
      <w:bookmarkStart w:id="85" w:name="_Toc317843333"/>
      <w:r>
        <w:rPr>
          <w:rFonts w:hint="eastAsia"/>
        </w:rPr>
        <w:t>（1）推进依法治运</w:t>
      </w:r>
      <w:bookmarkEnd w:id="85"/>
    </w:p>
    <w:p>
      <w:pPr>
        <w:ind w:firstLine="560"/>
      </w:pPr>
      <w:r>
        <w:rPr>
          <w:rFonts w:hint="eastAsia"/>
        </w:rPr>
        <w:t>加快完善云和县道路运输法规体系，加强法制宣传教育和贯彻落实。建立健全行政执法制度，完善行政处罚自由裁量权基准，严格执法程序，统一执法尺度，规范执法行为。建立健全执法监督机制，落实行政执法责任和行政复议制度，引入社会评价机制，加强执法评议考核工作，自觉接受管理服务对象、社会公众和舆论的监督。继续推进跨地区执法联动和运政、路政联合执法，探索建立跨区域执法信息共享机制，提高道路运输管理队伍联动互动、协同协作的依法监管能力。</w:t>
      </w:r>
    </w:p>
    <w:p>
      <w:pPr>
        <w:pStyle w:val="44"/>
        <w:spacing w:before="190" w:after="190"/>
        <w:outlineLvl w:val="9"/>
      </w:pPr>
      <w:bookmarkStart w:id="86" w:name="_Toc317843334"/>
      <w:r>
        <w:rPr>
          <w:rFonts w:hint="eastAsia"/>
        </w:rPr>
        <w:t>（2）提高道路交通安全水平</w:t>
      </w:r>
      <w:bookmarkEnd w:id="86"/>
    </w:p>
    <w:p>
      <w:pPr>
        <w:ind w:firstLine="560"/>
      </w:pPr>
      <w:r>
        <w:rPr>
          <w:rFonts w:hint="eastAsia"/>
        </w:rPr>
        <w:t>坚持安全第一、预防为主的方针政策，把安全贯穿于道路交通基础设施建设、运输装备的全生产周期和生产服务全过程，实现安全发展。强化交通安全宣传教育，提升全体道路交通参与者安全意识，建立安全责任考核和追究制度。建立健全道路交通运输安全监督管理机制，完善安全管理制度，完善安全标准，健全安全认证制度，强化危险品运输的市场准入和全程监控，加强云和县道路交通安全管理部门之间的沟通协作。强化道路交通基础设施和装备规划设计、建设制造、运营使用全过程监督管理，落实监管措施、机构和责任，建立安全责任考核和追求制度，逐步实现安全生产监管全覆盖。加强道路交通安全科研及成果应用，推进多层次安全队伍建设。</w:t>
      </w:r>
    </w:p>
    <w:p>
      <w:pPr>
        <w:ind w:firstLine="0" w:firstLineChars="0"/>
      </w:pPr>
    </w:p>
    <w:p>
      <w:pPr>
        <w:ind w:firstLine="0" w:firstLineChars="0"/>
      </w:pPr>
    </w:p>
    <w:p>
      <w:pPr>
        <w:widowControl/>
        <w:spacing w:line="240" w:lineRule="auto"/>
        <w:ind w:firstLine="0" w:firstLineChars="0"/>
        <w:jc w:val="left"/>
      </w:pPr>
      <w:r>
        <w:br w:type="page"/>
      </w:r>
    </w:p>
    <w:p>
      <w:pPr>
        <w:pStyle w:val="2"/>
        <w:spacing w:after="190"/>
      </w:pPr>
      <w:bookmarkStart w:id="87" w:name="_Toc340220216"/>
      <w:bookmarkStart w:id="88" w:name="_Toc317843336"/>
      <w:r>
        <w:rPr>
          <w:rFonts w:hint="eastAsia"/>
        </w:rPr>
        <w:t>第七章保障措施</w:t>
      </w:r>
      <w:bookmarkEnd w:id="87"/>
      <w:bookmarkEnd w:id="88"/>
    </w:p>
    <w:p>
      <w:pPr>
        <w:pStyle w:val="3"/>
        <w:snapToGrid w:val="0"/>
        <w:spacing w:before="190" w:after="190" w:line="240" w:lineRule="auto"/>
      </w:pPr>
      <w:bookmarkStart w:id="89" w:name="_Toc340220217"/>
      <w:bookmarkStart w:id="90" w:name="_Toc317843337"/>
      <w:r>
        <w:t>7.1</w:t>
      </w:r>
      <w:r>
        <w:rPr>
          <w:rFonts w:hint="eastAsia"/>
        </w:rPr>
        <w:t>组织保障</w:t>
      </w:r>
      <w:bookmarkEnd w:id="89"/>
      <w:bookmarkEnd w:id="90"/>
    </w:p>
    <w:p>
      <w:pPr>
        <w:ind w:firstLine="560"/>
      </w:pPr>
      <w:r>
        <w:rPr>
          <w:rFonts w:hint="eastAsia"/>
        </w:rPr>
        <w:t>加强道路运输</w:t>
      </w:r>
      <w:r>
        <w:t>业“</w:t>
      </w:r>
      <w:r>
        <w:rPr>
          <w:rFonts w:hint="eastAsia"/>
        </w:rPr>
        <w:t>十三五</w:t>
      </w:r>
      <w:r>
        <w:t>”</w:t>
      </w:r>
      <w:r>
        <w:rPr>
          <w:rFonts w:hint="eastAsia"/>
        </w:rPr>
        <w:t>发展</w:t>
      </w:r>
      <w:r>
        <w:t>规划</w:t>
      </w:r>
      <w:r>
        <w:rPr>
          <w:rFonts w:hint="eastAsia"/>
        </w:rPr>
        <w:t>工作的组织领导，成立领导小组，</w:t>
      </w:r>
      <w:r>
        <w:t>制定规划的具体措施和项目完成时限</w:t>
      </w:r>
      <w:r>
        <w:rPr>
          <w:rFonts w:hint="eastAsia"/>
        </w:rPr>
        <w:t>，</w:t>
      </w:r>
      <w:r>
        <w:t>统筹推进道路运输业发展</w:t>
      </w:r>
      <w:r>
        <w:rPr>
          <w:rFonts w:hint="eastAsia"/>
        </w:rPr>
        <w:t>。完善协调机制，建立</w:t>
      </w:r>
      <w:r>
        <w:t>健全自上而下、</w:t>
      </w:r>
      <w:r>
        <w:rPr>
          <w:rFonts w:hint="eastAsia"/>
        </w:rPr>
        <w:t>层层落实</w:t>
      </w:r>
      <w:r>
        <w:t>的规划组织保障</w:t>
      </w:r>
      <w:r>
        <w:rPr>
          <w:rFonts w:hint="eastAsia"/>
        </w:rPr>
        <w:t>，负责规划编制</w:t>
      </w:r>
      <w:r>
        <w:t>工作</w:t>
      </w:r>
      <w:r>
        <w:rPr>
          <w:rFonts w:hint="eastAsia"/>
        </w:rPr>
        <w:t>的组织实施与检查指导，制定切实可行的实施方案和计划，</w:t>
      </w:r>
      <w:r>
        <w:t>明确各相关部门任务目标、发展指标、完成时限</w:t>
      </w:r>
      <w:r>
        <w:rPr>
          <w:rFonts w:hint="eastAsia"/>
        </w:rPr>
        <w:t>，</w:t>
      </w:r>
      <w:r>
        <w:t>将任务落实到项目、责任落实到干部。</w:t>
      </w:r>
      <w:r>
        <w:rPr>
          <w:rFonts w:hint="eastAsia"/>
        </w:rPr>
        <w:t>县运管局按照要求，牵头委托专业机构编制规划。</w:t>
      </w:r>
    </w:p>
    <w:p>
      <w:pPr>
        <w:ind w:firstLine="560"/>
      </w:pPr>
      <w:r>
        <w:rPr>
          <w:rFonts w:hint="eastAsia"/>
        </w:rPr>
        <w:t>在规划实施过程中，发挥社会组织作用，积极转变政府职能，充分发挥市场在资源配置中的决定性作用，加快道路运输业行业协会建设，协调解决发展中存在的主要问题。</w:t>
      </w:r>
    </w:p>
    <w:p>
      <w:pPr>
        <w:pStyle w:val="3"/>
        <w:snapToGrid w:val="0"/>
        <w:spacing w:before="190" w:after="190" w:line="240" w:lineRule="auto"/>
      </w:pPr>
      <w:bookmarkStart w:id="91" w:name="_Toc340220218"/>
      <w:bookmarkStart w:id="92" w:name="_Toc317843338"/>
      <w:r>
        <w:t>7.2</w:t>
      </w:r>
      <w:r>
        <w:rPr>
          <w:rFonts w:hint="eastAsia"/>
        </w:rPr>
        <w:t>要素保障</w:t>
      </w:r>
      <w:bookmarkEnd w:id="91"/>
      <w:bookmarkEnd w:id="92"/>
    </w:p>
    <w:p>
      <w:pPr>
        <w:ind w:firstLine="560"/>
      </w:pPr>
      <w:r>
        <w:rPr>
          <w:rFonts w:hint="eastAsia"/>
        </w:rPr>
        <w:t>调整优化资金</w:t>
      </w:r>
      <w:r>
        <w:t>支持</w:t>
      </w:r>
      <w:r>
        <w:rPr>
          <w:rFonts w:hint="eastAsia"/>
        </w:rPr>
        <w:t>投入方式，进一步拓宽投融资渠道，大力发展资本市场，吸引更多的社会资金投资道路</w:t>
      </w:r>
      <w:r>
        <w:t>运输业</w:t>
      </w:r>
      <w:r>
        <w:rPr>
          <w:rFonts w:hint="eastAsia"/>
        </w:rPr>
        <w:t>发展</w:t>
      </w:r>
      <w:r>
        <w:t>。</w:t>
      </w:r>
      <w:r>
        <w:rPr>
          <w:rFonts w:hint="eastAsia"/>
        </w:rPr>
        <w:t>在加大财政投入的同时，要强化“购买服务”理念，改进政府参与方式，探索采取多种形式筹集建设资金，鼓励社会资本参与城市公用设施投资运营，采用BOT、PPP等多种方式吸引社会资本参与公益性事业和城市基础设施建设。</w:t>
      </w:r>
    </w:p>
    <w:p>
      <w:pPr>
        <w:ind w:firstLine="560"/>
      </w:pPr>
      <w:r>
        <w:rPr>
          <w:rFonts w:hint="eastAsia"/>
        </w:rPr>
        <w:t>加强道路运输</w:t>
      </w:r>
      <w:r>
        <w:t>业</w:t>
      </w:r>
      <w:r>
        <w:rPr>
          <w:rFonts w:hint="eastAsia"/>
        </w:rPr>
        <w:t>用地的规划、储备和供应工作，适度扩大道路运输业发展规划控制范围和预留空间。提高道路运输业规划用地权重和标准，在安排道路运输业重点项目建设用地计划时实行适度倾斜。规划确定的道路运输</w:t>
      </w:r>
      <w:r>
        <w:t>行业</w:t>
      </w:r>
      <w:r>
        <w:rPr>
          <w:rFonts w:hint="eastAsia"/>
        </w:rPr>
        <w:t>建设用地，不得改作他用。</w:t>
      </w:r>
    </w:p>
    <w:p>
      <w:pPr>
        <w:pStyle w:val="3"/>
        <w:snapToGrid w:val="0"/>
        <w:spacing w:before="190" w:after="190" w:line="240" w:lineRule="auto"/>
      </w:pPr>
      <w:bookmarkStart w:id="93" w:name="_Toc317843339"/>
      <w:bookmarkStart w:id="94" w:name="_Toc340220219"/>
      <w:r>
        <w:t>7.3</w:t>
      </w:r>
      <w:r>
        <w:rPr>
          <w:rFonts w:hint="eastAsia"/>
        </w:rPr>
        <w:t>队伍保障</w:t>
      </w:r>
      <w:bookmarkEnd w:id="93"/>
      <w:bookmarkEnd w:id="94"/>
    </w:p>
    <w:p>
      <w:pPr>
        <w:ind w:firstLine="560"/>
      </w:pPr>
      <w:r>
        <w:rPr>
          <w:rFonts w:hint="eastAsia"/>
        </w:rPr>
        <w:t>加大</w:t>
      </w:r>
      <w:r>
        <w:t>人才开发力度</w:t>
      </w:r>
      <w:r>
        <w:rPr>
          <w:rFonts w:hint="eastAsia"/>
        </w:rPr>
        <w:t>，促进人才</w:t>
      </w:r>
      <w:r>
        <w:t>规模、</w:t>
      </w:r>
      <w:r>
        <w:rPr>
          <w:rFonts w:hint="eastAsia"/>
        </w:rPr>
        <w:t>结构</w:t>
      </w:r>
      <w:r>
        <w:t>、素质的</w:t>
      </w:r>
      <w:r>
        <w:rPr>
          <w:rFonts w:hint="eastAsia"/>
        </w:rPr>
        <w:t>全面</w:t>
      </w:r>
      <w:r>
        <w:t>提升</w:t>
      </w:r>
      <w:r>
        <w:rPr>
          <w:rFonts w:hint="eastAsia"/>
        </w:rPr>
        <w:t>，努力</w:t>
      </w:r>
      <w:r>
        <w:t>培养一支</w:t>
      </w:r>
      <w:r>
        <w:rPr>
          <w:rFonts w:hint="eastAsia"/>
        </w:rPr>
        <w:t>适应</w:t>
      </w:r>
      <w:r>
        <w:t>现代道路运输业发展</w:t>
      </w:r>
      <w:r>
        <w:rPr>
          <w:rFonts w:hint="eastAsia"/>
        </w:rPr>
        <w:t>需要</w:t>
      </w:r>
      <w:r>
        <w:t>的高素质人才队伍。</w:t>
      </w:r>
      <w:r>
        <w:rPr>
          <w:rFonts w:hint="eastAsia"/>
        </w:rPr>
        <w:t>加强</w:t>
      </w:r>
      <w:r>
        <w:t>业务</w:t>
      </w:r>
      <w:r>
        <w:rPr>
          <w:rFonts w:hint="eastAsia"/>
        </w:rPr>
        <w:t>知识</w:t>
      </w:r>
      <w:r>
        <w:t>培训</w:t>
      </w:r>
      <w:r>
        <w:rPr>
          <w:rFonts w:hint="eastAsia"/>
        </w:rPr>
        <w:t>，加快管理队伍的基础管理和正规化建设进程。</w:t>
      </w:r>
    </w:p>
    <w:p>
      <w:pPr>
        <w:ind w:firstLine="560"/>
      </w:pPr>
      <w:r>
        <w:rPr>
          <w:rFonts w:hint="eastAsia"/>
        </w:rPr>
        <w:t>创新人才</w:t>
      </w:r>
      <w:r>
        <w:t>工作机制</w:t>
      </w:r>
      <w:r>
        <w:rPr>
          <w:rFonts w:hint="eastAsia"/>
        </w:rPr>
        <w:t>，形成灵活的人才引进、培养和保障机制。</w:t>
      </w:r>
      <w:r>
        <w:t>采取有效措施，加大培养力度，整合人才资源，优化人才结构，</w:t>
      </w:r>
      <w:r>
        <w:rPr>
          <w:rFonts w:hint="eastAsia"/>
        </w:rPr>
        <w:t>加强执法业务骨干队伍和执法管理队伍建设，努力实现执法队伍正规化、专业化、标准化。</w:t>
      </w:r>
    </w:p>
    <w:p>
      <w:pPr>
        <w:ind w:firstLine="560"/>
      </w:pPr>
      <w:r>
        <w:rPr>
          <w:rFonts w:hint="eastAsia"/>
        </w:rPr>
        <w:t>提升行业教育培训参与度，积极选派优秀的年轻人才参与各类行业继续教育培训，加强行业交流。</w:t>
      </w:r>
    </w:p>
    <w:p>
      <w:pPr>
        <w:pStyle w:val="3"/>
        <w:snapToGrid w:val="0"/>
        <w:spacing w:before="190" w:after="190" w:line="240" w:lineRule="auto"/>
      </w:pPr>
      <w:bookmarkStart w:id="95" w:name="_Toc340220220"/>
      <w:bookmarkStart w:id="96" w:name="_Toc317843340"/>
      <w:r>
        <w:t>7.4</w:t>
      </w:r>
      <w:r>
        <w:rPr>
          <w:rFonts w:hint="eastAsia"/>
        </w:rPr>
        <w:t>规划保障</w:t>
      </w:r>
      <w:bookmarkEnd w:id="95"/>
      <w:bookmarkEnd w:id="96"/>
    </w:p>
    <w:p>
      <w:pPr>
        <w:ind w:firstLine="560"/>
      </w:pPr>
      <w:r>
        <w:t>注重规划衔接</w:t>
      </w:r>
      <w:r>
        <w:rPr>
          <w:rFonts w:hint="eastAsia"/>
        </w:rPr>
        <w:t>。综合考量前期规划目标实现的具体情况，</w:t>
      </w:r>
      <w:r>
        <w:t>鼓励相关职能部门根据</w:t>
      </w:r>
      <w:r>
        <w:rPr>
          <w:rFonts w:hint="eastAsia"/>
        </w:rPr>
        <w:t>行业</w:t>
      </w:r>
      <w:r>
        <w:t>发展</w:t>
      </w:r>
      <w:r>
        <w:rPr>
          <w:rFonts w:hint="eastAsia"/>
        </w:rPr>
        <w:t>实际</w:t>
      </w:r>
      <w:r>
        <w:t>需求制定</w:t>
      </w:r>
      <w:r>
        <w:rPr>
          <w:rFonts w:hint="eastAsia"/>
        </w:rPr>
        <w:t>分项计划</w:t>
      </w:r>
      <w:r>
        <w:t>，并纳入规划体系。</w:t>
      </w:r>
    </w:p>
    <w:p>
      <w:pPr>
        <w:ind w:firstLine="560"/>
      </w:pPr>
      <w:r>
        <w:rPr>
          <w:rFonts w:hint="eastAsia"/>
        </w:rPr>
        <w:t>健全规划</w:t>
      </w:r>
      <w:r>
        <w:t>实施机制</w:t>
      </w:r>
      <w:r>
        <w:rPr>
          <w:rFonts w:hint="eastAsia"/>
        </w:rPr>
        <w:t>。科学分解落实五年规划目标任务，认真</w:t>
      </w:r>
      <w:r>
        <w:t>做好每年</w:t>
      </w:r>
      <w:r>
        <w:rPr>
          <w:rFonts w:hint="eastAsia"/>
        </w:rPr>
        <w:t>计划工作</w:t>
      </w:r>
      <w:r>
        <w:t>，</w:t>
      </w:r>
      <w:r>
        <w:rPr>
          <w:rFonts w:hint="eastAsia"/>
        </w:rPr>
        <w:t>各部门</w:t>
      </w:r>
      <w:r>
        <w:t>根据规划</w:t>
      </w:r>
      <w:r>
        <w:rPr>
          <w:rFonts w:hint="eastAsia"/>
        </w:rPr>
        <w:t>精神，</w:t>
      </w:r>
      <w:r>
        <w:t>结合本部门</w:t>
      </w:r>
      <w:r>
        <w:rPr>
          <w:rFonts w:hint="eastAsia"/>
        </w:rPr>
        <w:t>职能和分项计划</w:t>
      </w:r>
      <w:r>
        <w:t>，</w:t>
      </w:r>
      <w:r>
        <w:rPr>
          <w:rFonts w:hint="eastAsia"/>
        </w:rPr>
        <w:t>逐步</w:t>
      </w:r>
      <w:r>
        <w:t>分解落实各项</w:t>
      </w:r>
      <w:r>
        <w:rPr>
          <w:rFonts w:hint="eastAsia"/>
        </w:rPr>
        <w:t>工作</w:t>
      </w:r>
      <w:r>
        <w:t>任务</w:t>
      </w:r>
      <w:r>
        <w:rPr>
          <w:rFonts w:hint="eastAsia"/>
        </w:rPr>
        <w:t>，</w:t>
      </w:r>
      <w:r>
        <w:t>将</w:t>
      </w:r>
      <w:r>
        <w:rPr>
          <w:rFonts w:hint="eastAsia"/>
        </w:rPr>
        <w:t>目标</w:t>
      </w:r>
      <w:r>
        <w:t>具体化、</w:t>
      </w:r>
      <w:r>
        <w:rPr>
          <w:rFonts w:hint="eastAsia"/>
        </w:rPr>
        <w:t>措施化</w:t>
      </w:r>
      <w:r>
        <w:t>、可操作化</w:t>
      </w:r>
      <w:r>
        <w:rPr>
          <w:rFonts w:hint="eastAsia"/>
        </w:rPr>
        <w:t>。综合</w:t>
      </w:r>
      <w:r>
        <w:t>运用</w:t>
      </w:r>
      <w:r>
        <w:rPr>
          <w:rFonts w:hint="eastAsia"/>
        </w:rPr>
        <w:t>经济</w:t>
      </w:r>
      <w:r>
        <w:t>、行政、</w:t>
      </w:r>
      <w:r>
        <w:rPr>
          <w:rFonts w:hint="eastAsia"/>
        </w:rPr>
        <w:t>财政</w:t>
      </w:r>
      <w:r>
        <w:t>、</w:t>
      </w:r>
      <w:r>
        <w:rPr>
          <w:rFonts w:hint="eastAsia"/>
        </w:rPr>
        <w:t>价格</w:t>
      </w:r>
      <w:r>
        <w:t>等手段</w:t>
      </w:r>
      <w:r>
        <w:rPr>
          <w:rFonts w:hint="eastAsia"/>
        </w:rPr>
        <w:t>，</w:t>
      </w:r>
      <w:r>
        <w:t>确保规划</w:t>
      </w:r>
      <w:r>
        <w:rPr>
          <w:rFonts w:hint="eastAsia"/>
        </w:rPr>
        <w:t>目标</w:t>
      </w:r>
      <w:r>
        <w:t>的</w:t>
      </w:r>
      <w:r>
        <w:rPr>
          <w:rFonts w:hint="eastAsia"/>
        </w:rPr>
        <w:t>顺利实现。</w:t>
      </w:r>
    </w:p>
    <w:p>
      <w:pPr>
        <w:ind w:firstLine="560"/>
      </w:pPr>
      <w:r>
        <w:rPr>
          <w:rFonts w:hint="eastAsia"/>
        </w:rPr>
        <w:t>强化</w:t>
      </w:r>
      <w:r>
        <w:t>规划监督</w:t>
      </w:r>
      <w:r>
        <w:rPr>
          <w:rFonts w:hint="eastAsia"/>
        </w:rPr>
        <w:t>。加强</w:t>
      </w:r>
      <w:r>
        <w:t>规划实施的过程跟踪和效果分析</w:t>
      </w:r>
      <w:r>
        <w:rPr>
          <w:rFonts w:hint="eastAsia"/>
        </w:rPr>
        <w:t>，定期检查，公布进展情况，</w:t>
      </w:r>
      <w:r>
        <w:t>增加规划透明度，</w:t>
      </w:r>
      <w:r>
        <w:rPr>
          <w:rFonts w:hint="eastAsia"/>
        </w:rPr>
        <w:t>增强民主参与度。规划进展情况列入党政工作议事日程，列入年终目标管理考核内容。及时掌握道路交通运输行业发展的动态，对于新出现的情况和问题，适时调整规划和相关政策，进一步增强规划的指导性。</w:t>
      </w:r>
    </w:p>
    <w:p>
      <w:pPr>
        <w:widowControl/>
        <w:spacing w:line="240" w:lineRule="auto"/>
        <w:ind w:firstLine="0" w:firstLineChars="0"/>
        <w:jc w:val="left"/>
        <w:rPr>
          <w:b/>
        </w:rPr>
      </w:pPr>
    </w:p>
    <w:sectPr>
      <w:pgSz w:w="11900" w:h="16840"/>
      <w:pgMar w:top="2098" w:right="1410" w:bottom="1985" w:left="1588"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Heiti SC Light">
    <w:altName w:val="微软雅黑"/>
    <w:panose1 w:val="00000000000000000000"/>
    <w:charset w:val="50"/>
    <w:family w:val="auto"/>
    <w:pitch w:val="default"/>
    <w:sig w:usb0="00000000" w:usb1="00000000" w:usb2="00000010" w:usb3="00000000" w:csb0="003E0000" w:csb1="00000000"/>
  </w:font>
  <w:font w:name="Courier">
    <w:altName w:val="Courier New"/>
    <w:panose1 w:val="02060409020205020404"/>
    <w:charset w:val="00"/>
    <w:family w:val="modern"/>
    <w:pitch w:val="default"/>
    <w:sig w:usb0="00000000" w:usb1="00000000" w:usb2="00000000" w:usb3="00000000" w:csb0="00000093" w:csb1="00000000"/>
  </w:font>
  <w:font w:name="方正大黑_GBK">
    <w:altName w:val="黑体"/>
    <w:panose1 w:val="00000000000000000000"/>
    <w:charset w:val="86"/>
    <w:family w:val="script"/>
    <w:pitch w:val="default"/>
    <w:sig w:usb0="00000000" w:usb1="00000000" w:usb2="00000010" w:usb3="00000000" w:csb0="00040000" w:csb1="00000000"/>
  </w:font>
  <w:font w:name="方正书宋_GBK">
    <w:panose1 w:val="03000509000000000000"/>
    <w:charset w:val="86"/>
    <w:family w:val="script"/>
    <w:pitch w:val="default"/>
    <w:sig w:usb0="00000001" w:usb1="080E0000" w:usb2="00000000" w:usb3="00000000" w:csb0="00040000" w:csb1="00000000"/>
  </w:font>
  <w:font w:name="方正细黑一简体">
    <w:altName w:val="黑体"/>
    <w:panose1 w:val="00000000000000000000"/>
    <w:charset w:val="86"/>
    <w:family w:val="script"/>
    <w:pitch w:val="default"/>
    <w:sig w:usb0="00000000" w:usb1="00000000" w:usb2="00000010" w:usb3="00000000" w:csb0="00040000" w:csb1="00000000"/>
  </w:font>
  <w:font w:name="ATC-6b636587">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Reference Sans Serif">
    <w:panose1 w:val="020B0604030504040204"/>
    <w:charset w:val="00"/>
    <w:family w:val="swiss"/>
    <w:pitch w:val="default"/>
    <w:sig w:usb0="00000287" w:usb1="00000000" w:usb2="00000000" w:usb3="00000000" w:csb0="2000019F" w:csb1="00000000"/>
  </w:font>
  <w:font w:name="Menlo Bold">
    <w:altName w:val="Arial"/>
    <w:panose1 w:val="00000000000000000000"/>
    <w:charset w:val="00"/>
    <w:family w:val="auto"/>
    <w:pitch w:val="default"/>
    <w:sig w:usb0="00000000" w:usb1="00000000" w:usb2="00000028" w:usb3="00000000" w:csb0="000001D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360"/>
      <w:rPr>
        <w:rStyle w:val="26"/>
      </w:rPr>
    </w:pPr>
    <w:r>
      <w:rPr>
        <w:rStyle w:val="26"/>
      </w:rPr>
      <w:fldChar w:fldCharType="begin"/>
    </w:r>
    <w:r>
      <w:rPr>
        <w:rStyle w:val="26"/>
      </w:rPr>
      <w:instrText xml:space="preserve">PAGE  </w:instrText>
    </w:r>
    <w:r>
      <w:rPr>
        <w:rStyle w:val="26"/>
      </w:rPr>
      <w:fldChar w:fldCharType="end"/>
    </w:r>
  </w:p>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360"/>
      <w:rPr>
        <w:rStyle w:val="26"/>
      </w:rPr>
    </w:pPr>
    <w:r>
      <w:rPr>
        <w:rStyle w:val="26"/>
      </w:rPr>
      <w:fldChar w:fldCharType="begin"/>
    </w:r>
    <w:r>
      <w:rPr>
        <w:rStyle w:val="26"/>
      </w:rPr>
      <w:instrText xml:space="preserve">PAGE  </w:instrText>
    </w:r>
    <w:r>
      <w:rPr>
        <w:rStyle w:val="26"/>
      </w:rPr>
      <w:fldChar w:fldCharType="separate"/>
    </w:r>
    <w:r>
      <w:rPr>
        <w:rStyle w:val="26"/>
      </w:rPr>
      <w:t>83</w:t>
    </w:r>
    <w:r>
      <w:rPr>
        <w:rStyle w:val="26"/>
      </w:rPr>
      <w:fldChar w:fldCharType="end"/>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AE653F"/>
    <w:multiLevelType w:val="multilevel"/>
    <w:tmpl w:val="28AE653F"/>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4FDC6725"/>
    <w:multiLevelType w:val="multilevel"/>
    <w:tmpl w:val="4FDC672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66A93CC8"/>
    <w:multiLevelType w:val="multilevel"/>
    <w:tmpl w:val="66A93CC8"/>
    <w:lvl w:ilvl="0" w:tentative="0">
      <w:start w:val="1"/>
      <w:numFmt w:val="lowerLetter"/>
      <w:lvlText w:val="%1)"/>
      <w:lvlJc w:val="left"/>
      <w:pPr>
        <w:ind w:left="1140" w:hanging="480"/>
      </w:pPr>
    </w:lvl>
    <w:lvl w:ilvl="1" w:tentative="0">
      <w:start w:val="1"/>
      <w:numFmt w:val="lowerLetter"/>
      <w:lvlText w:val="%2)"/>
      <w:lvlJc w:val="left"/>
      <w:pPr>
        <w:ind w:left="1620" w:hanging="480"/>
      </w:pPr>
    </w:lvl>
    <w:lvl w:ilvl="2" w:tentative="0">
      <w:start w:val="1"/>
      <w:numFmt w:val="lowerRoman"/>
      <w:lvlText w:val="%3."/>
      <w:lvlJc w:val="right"/>
      <w:pPr>
        <w:ind w:left="2100" w:hanging="480"/>
      </w:pPr>
    </w:lvl>
    <w:lvl w:ilvl="3" w:tentative="0">
      <w:start w:val="1"/>
      <w:numFmt w:val="decimal"/>
      <w:lvlText w:val="%4."/>
      <w:lvlJc w:val="left"/>
      <w:pPr>
        <w:ind w:left="2580" w:hanging="480"/>
      </w:pPr>
    </w:lvl>
    <w:lvl w:ilvl="4" w:tentative="0">
      <w:start w:val="1"/>
      <w:numFmt w:val="lowerLetter"/>
      <w:lvlText w:val="%5)"/>
      <w:lvlJc w:val="left"/>
      <w:pPr>
        <w:ind w:left="3060" w:hanging="480"/>
      </w:pPr>
    </w:lvl>
    <w:lvl w:ilvl="5" w:tentative="0">
      <w:start w:val="1"/>
      <w:numFmt w:val="lowerRoman"/>
      <w:lvlText w:val="%6."/>
      <w:lvlJc w:val="right"/>
      <w:pPr>
        <w:ind w:left="3540" w:hanging="480"/>
      </w:pPr>
    </w:lvl>
    <w:lvl w:ilvl="6" w:tentative="0">
      <w:start w:val="1"/>
      <w:numFmt w:val="decimal"/>
      <w:lvlText w:val="%7."/>
      <w:lvlJc w:val="left"/>
      <w:pPr>
        <w:ind w:left="4020" w:hanging="480"/>
      </w:pPr>
    </w:lvl>
    <w:lvl w:ilvl="7" w:tentative="0">
      <w:start w:val="1"/>
      <w:numFmt w:val="lowerLetter"/>
      <w:lvlText w:val="%8)"/>
      <w:lvlJc w:val="left"/>
      <w:pPr>
        <w:ind w:left="4500" w:hanging="480"/>
      </w:pPr>
    </w:lvl>
    <w:lvl w:ilvl="8" w:tentative="0">
      <w:start w:val="1"/>
      <w:numFmt w:val="lowerRoman"/>
      <w:lvlText w:val="%9."/>
      <w:lvlJc w:val="right"/>
      <w:pPr>
        <w:ind w:left="4980" w:hanging="480"/>
      </w:pPr>
    </w:lvl>
  </w:abstractNum>
  <w:abstractNum w:abstractNumId="3">
    <w:nsid w:val="77BC33E2"/>
    <w:multiLevelType w:val="multilevel"/>
    <w:tmpl w:val="77BC33E2"/>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CC01EE9"/>
    <w:multiLevelType w:val="multilevel"/>
    <w:tmpl w:val="7CC01EE9"/>
    <w:lvl w:ilvl="0" w:tentative="0">
      <w:start w:val="1"/>
      <w:numFmt w:val="bullet"/>
      <w:lvlText w:val=""/>
      <w:lvlJc w:val="left"/>
      <w:pPr>
        <w:ind w:left="1040" w:hanging="480"/>
      </w:pPr>
      <w:rPr>
        <w:rFonts w:hint="default" w:ascii="Wingdings" w:hAnsi="Wingdings"/>
      </w:rPr>
    </w:lvl>
    <w:lvl w:ilvl="1" w:tentative="0">
      <w:start w:val="1"/>
      <w:numFmt w:val="bullet"/>
      <w:lvlText w:val=""/>
      <w:lvlJc w:val="left"/>
      <w:pPr>
        <w:ind w:left="1520" w:hanging="480"/>
      </w:pPr>
      <w:rPr>
        <w:rFonts w:hint="default" w:ascii="Wingdings" w:hAnsi="Wingdings"/>
      </w:rPr>
    </w:lvl>
    <w:lvl w:ilvl="2" w:tentative="0">
      <w:start w:val="1"/>
      <w:numFmt w:val="bullet"/>
      <w:lvlText w:val=""/>
      <w:lvlJc w:val="left"/>
      <w:pPr>
        <w:ind w:left="2000" w:hanging="480"/>
      </w:pPr>
      <w:rPr>
        <w:rFonts w:hint="default" w:ascii="Wingdings" w:hAnsi="Wingdings"/>
      </w:rPr>
    </w:lvl>
    <w:lvl w:ilvl="3" w:tentative="0">
      <w:start w:val="1"/>
      <w:numFmt w:val="bullet"/>
      <w:lvlText w:val=""/>
      <w:lvlJc w:val="left"/>
      <w:pPr>
        <w:ind w:left="2480" w:hanging="480"/>
      </w:pPr>
      <w:rPr>
        <w:rFonts w:hint="default" w:ascii="Wingdings" w:hAnsi="Wingdings"/>
      </w:rPr>
    </w:lvl>
    <w:lvl w:ilvl="4" w:tentative="0">
      <w:start w:val="1"/>
      <w:numFmt w:val="bullet"/>
      <w:lvlText w:val=""/>
      <w:lvlJc w:val="left"/>
      <w:pPr>
        <w:ind w:left="2960" w:hanging="480"/>
      </w:pPr>
      <w:rPr>
        <w:rFonts w:hint="default" w:ascii="Wingdings" w:hAnsi="Wingdings"/>
      </w:rPr>
    </w:lvl>
    <w:lvl w:ilvl="5" w:tentative="0">
      <w:start w:val="1"/>
      <w:numFmt w:val="bullet"/>
      <w:lvlText w:val=""/>
      <w:lvlJc w:val="left"/>
      <w:pPr>
        <w:ind w:left="3440" w:hanging="480"/>
      </w:pPr>
      <w:rPr>
        <w:rFonts w:hint="default" w:ascii="Wingdings" w:hAnsi="Wingdings"/>
      </w:rPr>
    </w:lvl>
    <w:lvl w:ilvl="6" w:tentative="0">
      <w:start w:val="1"/>
      <w:numFmt w:val="bullet"/>
      <w:lvlText w:val=""/>
      <w:lvlJc w:val="left"/>
      <w:pPr>
        <w:ind w:left="3920" w:hanging="480"/>
      </w:pPr>
      <w:rPr>
        <w:rFonts w:hint="default" w:ascii="Wingdings" w:hAnsi="Wingdings"/>
      </w:rPr>
    </w:lvl>
    <w:lvl w:ilvl="7" w:tentative="0">
      <w:start w:val="1"/>
      <w:numFmt w:val="bullet"/>
      <w:lvlText w:val=""/>
      <w:lvlJc w:val="left"/>
      <w:pPr>
        <w:ind w:left="4400" w:hanging="480"/>
      </w:pPr>
      <w:rPr>
        <w:rFonts w:hint="default" w:ascii="Wingdings" w:hAnsi="Wingdings"/>
      </w:rPr>
    </w:lvl>
    <w:lvl w:ilvl="8" w:tentative="0">
      <w:start w:val="1"/>
      <w:numFmt w:val="bullet"/>
      <w:lvlText w:val=""/>
      <w:lvlJc w:val="left"/>
      <w:pPr>
        <w:ind w:left="4880" w:hanging="480"/>
      </w:pPr>
      <w:rPr>
        <w:rFonts w:hint="default" w:ascii="Wingdings" w:hAnsi="Wingdings"/>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true"/>
  <w:bordersDoNotSurroundFooter w:val="true"/>
  <w:documentProtection w:enforcement="0"/>
  <w:defaultTabStop w:val="420"/>
  <w:drawingGridHorizontalSpacing w:val="140"/>
  <w:drawingGridVerticalSpacing w:val="381"/>
  <w:displayHorizontalDrawingGridEvery w:val="0"/>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142"/>
    <w:rsid w:val="00000171"/>
    <w:rsid w:val="00000503"/>
    <w:rsid w:val="000015A6"/>
    <w:rsid w:val="00002E93"/>
    <w:rsid w:val="00002F2B"/>
    <w:rsid w:val="0000464B"/>
    <w:rsid w:val="0000584F"/>
    <w:rsid w:val="00005F69"/>
    <w:rsid w:val="00006181"/>
    <w:rsid w:val="00006487"/>
    <w:rsid w:val="000067F9"/>
    <w:rsid w:val="0000726D"/>
    <w:rsid w:val="00012A1D"/>
    <w:rsid w:val="00013D6B"/>
    <w:rsid w:val="00013D81"/>
    <w:rsid w:val="00014F08"/>
    <w:rsid w:val="00014F0D"/>
    <w:rsid w:val="00015D0A"/>
    <w:rsid w:val="0001651B"/>
    <w:rsid w:val="00016720"/>
    <w:rsid w:val="000174BC"/>
    <w:rsid w:val="00017A6B"/>
    <w:rsid w:val="00020E6E"/>
    <w:rsid w:val="0002305B"/>
    <w:rsid w:val="000231E1"/>
    <w:rsid w:val="00023390"/>
    <w:rsid w:val="00024E98"/>
    <w:rsid w:val="00025F59"/>
    <w:rsid w:val="000261AC"/>
    <w:rsid w:val="000300FF"/>
    <w:rsid w:val="000301AE"/>
    <w:rsid w:val="0003058F"/>
    <w:rsid w:val="00030656"/>
    <w:rsid w:val="000328CD"/>
    <w:rsid w:val="00032C28"/>
    <w:rsid w:val="000330D8"/>
    <w:rsid w:val="00033AE0"/>
    <w:rsid w:val="00034100"/>
    <w:rsid w:val="0003480F"/>
    <w:rsid w:val="00034B9B"/>
    <w:rsid w:val="00037184"/>
    <w:rsid w:val="000371D3"/>
    <w:rsid w:val="0004044E"/>
    <w:rsid w:val="000408C0"/>
    <w:rsid w:val="00041142"/>
    <w:rsid w:val="00041366"/>
    <w:rsid w:val="00041B26"/>
    <w:rsid w:val="00042825"/>
    <w:rsid w:val="00042891"/>
    <w:rsid w:val="000436FF"/>
    <w:rsid w:val="00044631"/>
    <w:rsid w:val="00044CB8"/>
    <w:rsid w:val="000457B7"/>
    <w:rsid w:val="0004638B"/>
    <w:rsid w:val="00046F7E"/>
    <w:rsid w:val="000473E8"/>
    <w:rsid w:val="00047EC8"/>
    <w:rsid w:val="000501F5"/>
    <w:rsid w:val="00050E8D"/>
    <w:rsid w:val="00050F27"/>
    <w:rsid w:val="00051465"/>
    <w:rsid w:val="00052196"/>
    <w:rsid w:val="00052B7C"/>
    <w:rsid w:val="00054DAE"/>
    <w:rsid w:val="000566EA"/>
    <w:rsid w:val="00057595"/>
    <w:rsid w:val="0005770A"/>
    <w:rsid w:val="000578AD"/>
    <w:rsid w:val="00057CD7"/>
    <w:rsid w:val="0006010E"/>
    <w:rsid w:val="00060AA3"/>
    <w:rsid w:val="00060C27"/>
    <w:rsid w:val="00061BF0"/>
    <w:rsid w:val="00061DC4"/>
    <w:rsid w:val="000626AE"/>
    <w:rsid w:val="00063C21"/>
    <w:rsid w:val="000644C8"/>
    <w:rsid w:val="00065CD7"/>
    <w:rsid w:val="00067429"/>
    <w:rsid w:val="000676CB"/>
    <w:rsid w:val="00067B05"/>
    <w:rsid w:val="00067D6A"/>
    <w:rsid w:val="00070861"/>
    <w:rsid w:val="000709D6"/>
    <w:rsid w:val="00070C5E"/>
    <w:rsid w:val="000735F4"/>
    <w:rsid w:val="000739B1"/>
    <w:rsid w:val="000753BA"/>
    <w:rsid w:val="00076105"/>
    <w:rsid w:val="00076886"/>
    <w:rsid w:val="0008465F"/>
    <w:rsid w:val="00084B8B"/>
    <w:rsid w:val="00085EFE"/>
    <w:rsid w:val="000861F5"/>
    <w:rsid w:val="0008674E"/>
    <w:rsid w:val="00087079"/>
    <w:rsid w:val="00087460"/>
    <w:rsid w:val="0009034E"/>
    <w:rsid w:val="000907C2"/>
    <w:rsid w:val="00090CE3"/>
    <w:rsid w:val="0009112F"/>
    <w:rsid w:val="0009164D"/>
    <w:rsid w:val="00091C36"/>
    <w:rsid w:val="0009306F"/>
    <w:rsid w:val="000938F6"/>
    <w:rsid w:val="0009499C"/>
    <w:rsid w:val="00096D27"/>
    <w:rsid w:val="00097615"/>
    <w:rsid w:val="000A0084"/>
    <w:rsid w:val="000A1C2C"/>
    <w:rsid w:val="000A1F4D"/>
    <w:rsid w:val="000A20B6"/>
    <w:rsid w:val="000A2E09"/>
    <w:rsid w:val="000A315E"/>
    <w:rsid w:val="000A3312"/>
    <w:rsid w:val="000A5120"/>
    <w:rsid w:val="000A5435"/>
    <w:rsid w:val="000A6434"/>
    <w:rsid w:val="000A67D4"/>
    <w:rsid w:val="000A6AD4"/>
    <w:rsid w:val="000A6B3F"/>
    <w:rsid w:val="000B02F4"/>
    <w:rsid w:val="000B19DF"/>
    <w:rsid w:val="000B20AA"/>
    <w:rsid w:val="000B249A"/>
    <w:rsid w:val="000B2630"/>
    <w:rsid w:val="000B2C3A"/>
    <w:rsid w:val="000B3125"/>
    <w:rsid w:val="000B3459"/>
    <w:rsid w:val="000B4CCC"/>
    <w:rsid w:val="000B59CE"/>
    <w:rsid w:val="000B69C5"/>
    <w:rsid w:val="000B7FE9"/>
    <w:rsid w:val="000C03EA"/>
    <w:rsid w:val="000C092F"/>
    <w:rsid w:val="000C1C7E"/>
    <w:rsid w:val="000C27F2"/>
    <w:rsid w:val="000C2D74"/>
    <w:rsid w:val="000C2FF1"/>
    <w:rsid w:val="000C4B92"/>
    <w:rsid w:val="000C4BF5"/>
    <w:rsid w:val="000C4E63"/>
    <w:rsid w:val="000C744B"/>
    <w:rsid w:val="000C7881"/>
    <w:rsid w:val="000C7C98"/>
    <w:rsid w:val="000D00F2"/>
    <w:rsid w:val="000D1A71"/>
    <w:rsid w:val="000D250C"/>
    <w:rsid w:val="000D2553"/>
    <w:rsid w:val="000D329A"/>
    <w:rsid w:val="000D377D"/>
    <w:rsid w:val="000D3914"/>
    <w:rsid w:val="000D4375"/>
    <w:rsid w:val="000D51FD"/>
    <w:rsid w:val="000D5940"/>
    <w:rsid w:val="000D5CCE"/>
    <w:rsid w:val="000D5FAF"/>
    <w:rsid w:val="000D6CAB"/>
    <w:rsid w:val="000E2021"/>
    <w:rsid w:val="000E2754"/>
    <w:rsid w:val="000E304A"/>
    <w:rsid w:val="000E44E1"/>
    <w:rsid w:val="000E5A98"/>
    <w:rsid w:val="000E5DAE"/>
    <w:rsid w:val="000F03C7"/>
    <w:rsid w:val="000F08EC"/>
    <w:rsid w:val="000F2755"/>
    <w:rsid w:val="000F29D5"/>
    <w:rsid w:val="000F3BF6"/>
    <w:rsid w:val="000F3CD7"/>
    <w:rsid w:val="000F6C4C"/>
    <w:rsid w:val="000F765A"/>
    <w:rsid w:val="000F7C72"/>
    <w:rsid w:val="00100F58"/>
    <w:rsid w:val="00101691"/>
    <w:rsid w:val="001019CA"/>
    <w:rsid w:val="00102A6B"/>
    <w:rsid w:val="00102EA7"/>
    <w:rsid w:val="0010622F"/>
    <w:rsid w:val="00106444"/>
    <w:rsid w:val="00106F4F"/>
    <w:rsid w:val="001073B7"/>
    <w:rsid w:val="00107480"/>
    <w:rsid w:val="00110384"/>
    <w:rsid w:val="001118C0"/>
    <w:rsid w:val="00111C9F"/>
    <w:rsid w:val="00112F94"/>
    <w:rsid w:val="00113222"/>
    <w:rsid w:val="001135F6"/>
    <w:rsid w:val="0011391B"/>
    <w:rsid w:val="00114502"/>
    <w:rsid w:val="00115002"/>
    <w:rsid w:val="001155A5"/>
    <w:rsid w:val="00115731"/>
    <w:rsid w:val="0011721D"/>
    <w:rsid w:val="0012359F"/>
    <w:rsid w:val="00123CF0"/>
    <w:rsid w:val="001241D9"/>
    <w:rsid w:val="00124CD8"/>
    <w:rsid w:val="0012541B"/>
    <w:rsid w:val="001256FA"/>
    <w:rsid w:val="00126ACB"/>
    <w:rsid w:val="00126E4F"/>
    <w:rsid w:val="0012700C"/>
    <w:rsid w:val="00127C1C"/>
    <w:rsid w:val="00127E10"/>
    <w:rsid w:val="0013231F"/>
    <w:rsid w:val="001323B5"/>
    <w:rsid w:val="001323D7"/>
    <w:rsid w:val="001327A5"/>
    <w:rsid w:val="00136027"/>
    <w:rsid w:val="0013696E"/>
    <w:rsid w:val="00140F17"/>
    <w:rsid w:val="00141105"/>
    <w:rsid w:val="00142691"/>
    <w:rsid w:val="001430AD"/>
    <w:rsid w:val="00144643"/>
    <w:rsid w:val="00145929"/>
    <w:rsid w:val="00145D11"/>
    <w:rsid w:val="001460F5"/>
    <w:rsid w:val="00147A06"/>
    <w:rsid w:val="001506D3"/>
    <w:rsid w:val="00152615"/>
    <w:rsid w:val="00154246"/>
    <w:rsid w:val="00154AC7"/>
    <w:rsid w:val="00154CDC"/>
    <w:rsid w:val="00154F3B"/>
    <w:rsid w:val="001551F2"/>
    <w:rsid w:val="0015530C"/>
    <w:rsid w:val="00160CEF"/>
    <w:rsid w:val="001625A1"/>
    <w:rsid w:val="00162BF9"/>
    <w:rsid w:val="0016304B"/>
    <w:rsid w:val="00163926"/>
    <w:rsid w:val="00163DEA"/>
    <w:rsid w:val="001641C0"/>
    <w:rsid w:val="0016447D"/>
    <w:rsid w:val="00164952"/>
    <w:rsid w:val="00164F1E"/>
    <w:rsid w:val="00165748"/>
    <w:rsid w:val="0016762B"/>
    <w:rsid w:val="00167C7C"/>
    <w:rsid w:val="00167E23"/>
    <w:rsid w:val="00170913"/>
    <w:rsid w:val="0017189E"/>
    <w:rsid w:val="001718D1"/>
    <w:rsid w:val="00171B6D"/>
    <w:rsid w:val="00171D1F"/>
    <w:rsid w:val="00171E6E"/>
    <w:rsid w:val="00172229"/>
    <w:rsid w:val="001728CE"/>
    <w:rsid w:val="00174472"/>
    <w:rsid w:val="0017454E"/>
    <w:rsid w:val="00174A89"/>
    <w:rsid w:val="00175264"/>
    <w:rsid w:val="00175388"/>
    <w:rsid w:val="00176F60"/>
    <w:rsid w:val="00177437"/>
    <w:rsid w:val="001778E1"/>
    <w:rsid w:val="00177BF9"/>
    <w:rsid w:val="00177EC8"/>
    <w:rsid w:val="001815CF"/>
    <w:rsid w:val="00181C4D"/>
    <w:rsid w:val="00181CCF"/>
    <w:rsid w:val="00182CC9"/>
    <w:rsid w:val="00182EF3"/>
    <w:rsid w:val="00183AB4"/>
    <w:rsid w:val="001843D7"/>
    <w:rsid w:val="001852F7"/>
    <w:rsid w:val="00185AA7"/>
    <w:rsid w:val="00185D1E"/>
    <w:rsid w:val="00190A00"/>
    <w:rsid w:val="00192185"/>
    <w:rsid w:val="00192830"/>
    <w:rsid w:val="001928FB"/>
    <w:rsid w:val="00192FA7"/>
    <w:rsid w:val="00193733"/>
    <w:rsid w:val="001943AC"/>
    <w:rsid w:val="001954E5"/>
    <w:rsid w:val="00195ACF"/>
    <w:rsid w:val="00195F3A"/>
    <w:rsid w:val="001971EA"/>
    <w:rsid w:val="00197386"/>
    <w:rsid w:val="00197F02"/>
    <w:rsid w:val="001A144F"/>
    <w:rsid w:val="001A29A7"/>
    <w:rsid w:val="001A327A"/>
    <w:rsid w:val="001A3A2D"/>
    <w:rsid w:val="001A3BB7"/>
    <w:rsid w:val="001A3FDE"/>
    <w:rsid w:val="001A4B8B"/>
    <w:rsid w:val="001A6474"/>
    <w:rsid w:val="001A6F0B"/>
    <w:rsid w:val="001A7A11"/>
    <w:rsid w:val="001B16A9"/>
    <w:rsid w:val="001B1A70"/>
    <w:rsid w:val="001B2E5F"/>
    <w:rsid w:val="001B3082"/>
    <w:rsid w:val="001B4A51"/>
    <w:rsid w:val="001B4FA1"/>
    <w:rsid w:val="001B6327"/>
    <w:rsid w:val="001B69EE"/>
    <w:rsid w:val="001B7B30"/>
    <w:rsid w:val="001B7B83"/>
    <w:rsid w:val="001B7C7D"/>
    <w:rsid w:val="001C075B"/>
    <w:rsid w:val="001C0BC5"/>
    <w:rsid w:val="001C13DC"/>
    <w:rsid w:val="001C215B"/>
    <w:rsid w:val="001C2704"/>
    <w:rsid w:val="001C35CE"/>
    <w:rsid w:val="001C3C3F"/>
    <w:rsid w:val="001C48B6"/>
    <w:rsid w:val="001C4918"/>
    <w:rsid w:val="001C5A83"/>
    <w:rsid w:val="001C602A"/>
    <w:rsid w:val="001C6554"/>
    <w:rsid w:val="001C69C9"/>
    <w:rsid w:val="001C6F10"/>
    <w:rsid w:val="001C71C3"/>
    <w:rsid w:val="001C7ED3"/>
    <w:rsid w:val="001D232A"/>
    <w:rsid w:val="001D30CC"/>
    <w:rsid w:val="001D4CE2"/>
    <w:rsid w:val="001D52DA"/>
    <w:rsid w:val="001D54EB"/>
    <w:rsid w:val="001D5530"/>
    <w:rsid w:val="001D6FE9"/>
    <w:rsid w:val="001E0675"/>
    <w:rsid w:val="001E0FA5"/>
    <w:rsid w:val="001E1D1B"/>
    <w:rsid w:val="001E2197"/>
    <w:rsid w:val="001E366D"/>
    <w:rsid w:val="001E4833"/>
    <w:rsid w:val="001E4DBB"/>
    <w:rsid w:val="001E58F0"/>
    <w:rsid w:val="001E5B28"/>
    <w:rsid w:val="001E62B3"/>
    <w:rsid w:val="001E6348"/>
    <w:rsid w:val="001E780F"/>
    <w:rsid w:val="001E7D79"/>
    <w:rsid w:val="001F1281"/>
    <w:rsid w:val="001F27C5"/>
    <w:rsid w:val="001F413C"/>
    <w:rsid w:val="001F5967"/>
    <w:rsid w:val="001F63BE"/>
    <w:rsid w:val="001F699A"/>
    <w:rsid w:val="0020057E"/>
    <w:rsid w:val="0020096B"/>
    <w:rsid w:val="002011B3"/>
    <w:rsid w:val="002016B3"/>
    <w:rsid w:val="00202601"/>
    <w:rsid w:val="002027D6"/>
    <w:rsid w:val="00203836"/>
    <w:rsid w:val="00203945"/>
    <w:rsid w:val="0021030E"/>
    <w:rsid w:val="00210652"/>
    <w:rsid w:val="00210906"/>
    <w:rsid w:val="00210A15"/>
    <w:rsid w:val="00210B9E"/>
    <w:rsid w:val="00210BF2"/>
    <w:rsid w:val="00211413"/>
    <w:rsid w:val="002125D3"/>
    <w:rsid w:val="00212677"/>
    <w:rsid w:val="0021324C"/>
    <w:rsid w:val="002139DF"/>
    <w:rsid w:val="00213CB6"/>
    <w:rsid w:val="002141A8"/>
    <w:rsid w:val="00215AA1"/>
    <w:rsid w:val="00217501"/>
    <w:rsid w:val="002209B9"/>
    <w:rsid w:val="002219E9"/>
    <w:rsid w:val="00221EE5"/>
    <w:rsid w:val="0022230D"/>
    <w:rsid w:val="0022230F"/>
    <w:rsid w:val="002234B3"/>
    <w:rsid w:val="0022390C"/>
    <w:rsid w:val="00223E4E"/>
    <w:rsid w:val="002256B4"/>
    <w:rsid w:val="00225E74"/>
    <w:rsid w:val="00226A0B"/>
    <w:rsid w:val="00226FC0"/>
    <w:rsid w:val="00227DFE"/>
    <w:rsid w:val="00231B8F"/>
    <w:rsid w:val="00232442"/>
    <w:rsid w:val="00232B10"/>
    <w:rsid w:val="00232E5B"/>
    <w:rsid w:val="00234074"/>
    <w:rsid w:val="00235B2B"/>
    <w:rsid w:val="002374B4"/>
    <w:rsid w:val="00237668"/>
    <w:rsid w:val="00240AAF"/>
    <w:rsid w:val="00241370"/>
    <w:rsid w:val="002413AF"/>
    <w:rsid w:val="00242094"/>
    <w:rsid w:val="002442F9"/>
    <w:rsid w:val="00245A3A"/>
    <w:rsid w:val="00245EBE"/>
    <w:rsid w:val="0024606D"/>
    <w:rsid w:val="002464B6"/>
    <w:rsid w:val="00246B38"/>
    <w:rsid w:val="00250186"/>
    <w:rsid w:val="00251210"/>
    <w:rsid w:val="00253226"/>
    <w:rsid w:val="002535E3"/>
    <w:rsid w:val="002545C2"/>
    <w:rsid w:val="002547FA"/>
    <w:rsid w:val="00254C35"/>
    <w:rsid w:val="002579D5"/>
    <w:rsid w:val="00257E04"/>
    <w:rsid w:val="00260781"/>
    <w:rsid w:val="00260B72"/>
    <w:rsid w:val="00260EBE"/>
    <w:rsid w:val="00260F1C"/>
    <w:rsid w:val="00261083"/>
    <w:rsid w:val="00261634"/>
    <w:rsid w:val="0026203B"/>
    <w:rsid w:val="002626A4"/>
    <w:rsid w:val="00262A68"/>
    <w:rsid w:val="00263362"/>
    <w:rsid w:val="00263AEA"/>
    <w:rsid w:val="00264C53"/>
    <w:rsid w:val="002666B5"/>
    <w:rsid w:val="00267242"/>
    <w:rsid w:val="00267B6F"/>
    <w:rsid w:val="00270655"/>
    <w:rsid w:val="00272DE5"/>
    <w:rsid w:val="00273486"/>
    <w:rsid w:val="002735A0"/>
    <w:rsid w:val="002736AB"/>
    <w:rsid w:val="002745FB"/>
    <w:rsid w:val="00274964"/>
    <w:rsid w:val="0027645E"/>
    <w:rsid w:val="00277FE2"/>
    <w:rsid w:val="00280144"/>
    <w:rsid w:val="00280883"/>
    <w:rsid w:val="002819BC"/>
    <w:rsid w:val="00281D28"/>
    <w:rsid w:val="002828DC"/>
    <w:rsid w:val="00282F13"/>
    <w:rsid w:val="002838FE"/>
    <w:rsid w:val="00284C2D"/>
    <w:rsid w:val="002858FF"/>
    <w:rsid w:val="00285A87"/>
    <w:rsid w:val="00285EA9"/>
    <w:rsid w:val="00286474"/>
    <w:rsid w:val="0028656F"/>
    <w:rsid w:val="00292011"/>
    <w:rsid w:val="00292439"/>
    <w:rsid w:val="00292A3A"/>
    <w:rsid w:val="00292B1B"/>
    <w:rsid w:val="00292C46"/>
    <w:rsid w:val="00293053"/>
    <w:rsid w:val="00293F64"/>
    <w:rsid w:val="00294933"/>
    <w:rsid w:val="00294A8E"/>
    <w:rsid w:val="0029566B"/>
    <w:rsid w:val="00295749"/>
    <w:rsid w:val="002965FF"/>
    <w:rsid w:val="00297A84"/>
    <w:rsid w:val="00297F58"/>
    <w:rsid w:val="002A0E3A"/>
    <w:rsid w:val="002A2CE3"/>
    <w:rsid w:val="002A4282"/>
    <w:rsid w:val="002A4584"/>
    <w:rsid w:val="002A4E6A"/>
    <w:rsid w:val="002A5B9C"/>
    <w:rsid w:val="002A7953"/>
    <w:rsid w:val="002A79E2"/>
    <w:rsid w:val="002B023C"/>
    <w:rsid w:val="002B0D5E"/>
    <w:rsid w:val="002B2725"/>
    <w:rsid w:val="002B2C4B"/>
    <w:rsid w:val="002B2F7B"/>
    <w:rsid w:val="002B30EB"/>
    <w:rsid w:val="002B32F2"/>
    <w:rsid w:val="002B38AD"/>
    <w:rsid w:val="002B3BAB"/>
    <w:rsid w:val="002B46B8"/>
    <w:rsid w:val="002C27E4"/>
    <w:rsid w:val="002C2D3D"/>
    <w:rsid w:val="002C5B22"/>
    <w:rsid w:val="002C6179"/>
    <w:rsid w:val="002C74A9"/>
    <w:rsid w:val="002C79C6"/>
    <w:rsid w:val="002C7D7E"/>
    <w:rsid w:val="002D1BD1"/>
    <w:rsid w:val="002D3952"/>
    <w:rsid w:val="002D4F96"/>
    <w:rsid w:val="002D5935"/>
    <w:rsid w:val="002D7374"/>
    <w:rsid w:val="002D7481"/>
    <w:rsid w:val="002D7ECD"/>
    <w:rsid w:val="002E21DE"/>
    <w:rsid w:val="002E2E3E"/>
    <w:rsid w:val="002E3585"/>
    <w:rsid w:val="002E3A81"/>
    <w:rsid w:val="002E3FF5"/>
    <w:rsid w:val="002E4C14"/>
    <w:rsid w:val="002E611C"/>
    <w:rsid w:val="002E7282"/>
    <w:rsid w:val="002F0531"/>
    <w:rsid w:val="002F0824"/>
    <w:rsid w:val="002F0BE0"/>
    <w:rsid w:val="002F1DB0"/>
    <w:rsid w:val="002F2CD2"/>
    <w:rsid w:val="002F4148"/>
    <w:rsid w:val="002F56C6"/>
    <w:rsid w:val="002F7A39"/>
    <w:rsid w:val="0030029B"/>
    <w:rsid w:val="0030040B"/>
    <w:rsid w:val="00300BEF"/>
    <w:rsid w:val="00301E4E"/>
    <w:rsid w:val="00304283"/>
    <w:rsid w:val="00304FBB"/>
    <w:rsid w:val="003055A5"/>
    <w:rsid w:val="00306CE4"/>
    <w:rsid w:val="00306D23"/>
    <w:rsid w:val="003070BB"/>
    <w:rsid w:val="0030719B"/>
    <w:rsid w:val="00307A76"/>
    <w:rsid w:val="00310209"/>
    <w:rsid w:val="0031099E"/>
    <w:rsid w:val="00310FE8"/>
    <w:rsid w:val="00312054"/>
    <w:rsid w:val="00312626"/>
    <w:rsid w:val="0031445B"/>
    <w:rsid w:val="00314DB9"/>
    <w:rsid w:val="00315ABB"/>
    <w:rsid w:val="00316F35"/>
    <w:rsid w:val="00317069"/>
    <w:rsid w:val="00317352"/>
    <w:rsid w:val="00320A1E"/>
    <w:rsid w:val="00320FC2"/>
    <w:rsid w:val="003225B2"/>
    <w:rsid w:val="003235CF"/>
    <w:rsid w:val="00323FFD"/>
    <w:rsid w:val="00324962"/>
    <w:rsid w:val="00324D2B"/>
    <w:rsid w:val="00325412"/>
    <w:rsid w:val="003255D1"/>
    <w:rsid w:val="00326035"/>
    <w:rsid w:val="0032641A"/>
    <w:rsid w:val="003266F4"/>
    <w:rsid w:val="00326EC0"/>
    <w:rsid w:val="0032724A"/>
    <w:rsid w:val="00327B7B"/>
    <w:rsid w:val="003301A8"/>
    <w:rsid w:val="003310EA"/>
    <w:rsid w:val="00331E22"/>
    <w:rsid w:val="0033277A"/>
    <w:rsid w:val="0033300F"/>
    <w:rsid w:val="00333CF8"/>
    <w:rsid w:val="0033479E"/>
    <w:rsid w:val="00334D78"/>
    <w:rsid w:val="00334DB5"/>
    <w:rsid w:val="0033504C"/>
    <w:rsid w:val="00336167"/>
    <w:rsid w:val="003379BB"/>
    <w:rsid w:val="00337D97"/>
    <w:rsid w:val="003415B5"/>
    <w:rsid w:val="00341E79"/>
    <w:rsid w:val="00343078"/>
    <w:rsid w:val="00344E91"/>
    <w:rsid w:val="00345877"/>
    <w:rsid w:val="00346224"/>
    <w:rsid w:val="003470A2"/>
    <w:rsid w:val="00347FDD"/>
    <w:rsid w:val="0035071B"/>
    <w:rsid w:val="00350CDC"/>
    <w:rsid w:val="003518EE"/>
    <w:rsid w:val="00352309"/>
    <w:rsid w:val="00352CC5"/>
    <w:rsid w:val="003537A0"/>
    <w:rsid w:val="00353807"/>
    <w:rsid w:val="00353A1A"/>
    <w:rsid w:val="003544B2"/>
    <w:rsid w:val="003551A7"/>
    <w:rsid w:val="0035605F"/>
    <w:rsid w:val="003568B2"/>
    <w:rsid w:val="00356A3A"/>
    <w:rsid w:val="00356BF0"/>
    <w:rsid w:val="00357E85"/>
    <w:rsid w:val="0036125D"/>
    <w:rsid w:val="00362A4E"/>
    <w:rsid w:val="00363006"/>
    <w:rsid w:val="00363C53"/>
    <w:rsid w:val="00365848"/>
    <w:rsid w:val="00365A0E"/>
    <w:rsid w:val="00366400"/>
    <w:rsid w:val="0036700D"/>
    <w:rsid w:val="003670CF"/>
    <w:rsid w:val="003703F5"/>
    <w:rsid w:val="00370537"/>
    <w:rsid w:val="00370B31"/>
    <w:rsid w:val="00370F51"/>
    <w:rsid w:val="00371222"/>
    <w:rsid w:val="00371F37"/>
    <w:rsid w:val="0037221C"/>
    <w:rsid w:val="00372851"/>
    <w:rsid w:val="00372B2F"/>
    <w:rsid w:val="00372C6A"/>
    <w:rsid w:val="00372EAC"/>
    <w:rsid w:val="0037315E"/>
    <w:rsid w:val="00373434"/>
    <w:rsid w:val="00373E2E"/>
    <w:rsid w:val="0037521B"/>
    <w:rsid w:val="00375634"/>
    <w:rsid w:val="00376CCC"/>
    <w:rsid w:val="00380257"/>
    <w:rsid w:val="00380A50"/>
    <w:rsid w:val="00380D7F"/>
    <w:rsid w:val="0038128C"/>
    <w:rsid w:val="00382039"/>
    <w:rsid w:val="0038288A"/>
    <w:rsid w:val="00383479"/>
    <w:rsid w:val="0038359C"/>
    <w:rsid w:val="003843C9"/>
    <w:rsid w:val="00384B7D"/>
    <w:rsid w:val="00384CCA"/>
    <w:rsid w:val="0038501B"/>
    <w:rsid w:val="0038563C"/>
    <w:rsid w:val="00385A26"/>
    <w:rsid w:val="00385E01"/>
    <w:rsid w:val="003863E4"/>
    <w:rsid w:val="00386756"/>
    <w:rsid w:val="00387580"/>
    <w:rsid w:val="00387C16"/>
    <w:rsid w:val="00387DD4"/>
    <w:rsid w:val="00390299"/>
    <w:rsid w:val="00390414"/>
    <w:rsid w:val="00391392"/>
    <w:rsid w:val="003921C7"/>
    <w:rsid w:val="00392725"/>
    <w:rsid w:val="00392A9D"/>
    <w:rsid w:val="00392D2F"/>
    <w:rsid w:val="00393E88"/>
    <w:rsid w:val="00394313"/>
    <w:rsid w:val="00394AFD"/>
    <w:rsid w:val="00395273"/>
    <w:rsid w:val="00395652"/>
    <w:rsid w:val="00396072"/>
    <w:rsid w:val="00396FA2"/>
    <w:rsid w:val="003971DF"/>
    <w:rsid w:val="003A02BB"/>
    <w:rsid w:val="003A0CE7"/>
    <w:rsid w:val="003A1354"/>
    <w:rsid w:val="003A32C4"/>
    <w:rsid w:val="003A33BA"/>
    <w:rsid w:val="003A4151"/>
    <w:rsid w:val="003A5061"/>
    <w:rsid w:val="003A586A"/>
    <w:rsid w:val="003A5B24"/>
    <w:rsid w:val="003A63D2"/>
    <w:rsid w:val="003A68D3"/>
    <w:rsid w:val="003A6C33"/>
    <w:rsid w:val="003A7E8F"/>
    <w:rsid w:val="003B044E"/>
    <w:rsid w:val="003B0B2C"/>
    <w:rsid w:val="003B0CC2"/>
    <w:rsid w:val="003B0F35"/>
    <w:rsid w:val="003B1219"/>
    <w:rsid w:val="003B18DF"/>
    <w:rsid w:val="003B1D2F"/>
    <w:rsid w:val="003B20F8"/>
    <w:rsid w:val="003B235E"/>
    <w:rsid w:val="003B2820"/>
    <w:rsid w:val="003B3812"/>
    <w:rsid w:val="003B3868"/>
    <w:rsid w:val="003B3B2E"/>
    <w:rsid w:val="003B3D98"/>
    <w:rsid w:val="003B4F69"/>
    <w:rsid w:val="003B4FA5"/>
    <w:rsid w:val="003B5012"/>
    <w:rsid w:val="003B58C3"/>
    <w:rsid w:val="003B5A30"/>
    <w:rsid w:val="003B7AD7"/>
    <w:rsid w:val="003C17B6"/>
    <w:rsid w:val="003C2019"/>
    <w:rsid w:val="003C2B47"/>
    <w:rsid w:val="003C2B8E"/>
    <w:rsid w:val="003C51CD"/>
    <w:rsid w:val="003C5797"/>
    <w:rsid w:val="003C665A"/>
    <w:rsid w:val="003C687D"/>
    <w:rsid w:val="003C6A32"/>
    <w:rsid w:val="003C70F8"/>
    <w:rsid w:val="003D037F"/>
    <w:rsid w:val="003D0B3E"/>
    <w:rsid w:val="003D145C"/>
    <w:rsid w:val="003D2F51"/>
    <w:rsid w:val="003D3683"/>
    <w:rsid w:val="003D3C68"/>
    <w:rsid w:val="003D3E88"/>
    <w:rsid w:val="003D4287"/>
    <w:rsid w:val="003D47C6"/>
    <w:rsid w:val="003D4979"/>
    <w:rsid w:val="003D5238"/>
    <w:rsid w:val="003D629B"/>
    <w:rsid w:val="003D7ACB"/>
    <w:rsid w:val="003E10D1"/>
    <w:rsid w:val="003E1BDA"/>
    <w:rsid w:val="003E1CE3"/>
    <w:rsid w:val="003E20EA"/>
    <w:rsid w:val="003E2124"/>
    <w:rsid w:val="003E24A6"/>
    <w:rsid w:val="003E432E"/>
    <w:rsid w:val="003E44C1"/>
    <w:rsid w:val="003E4E65"/>
    <w:rsid w:val="003E5B75"/>
    <w:rsid w:val="003F0EC5"/>
    <w:rsid w:val="003F0FE2"/>
    <w:rsid w:val="003F1631"/>
    <w:rsid w:val="003F360A"/>
    <w:rsid w:val="003F4259"/>
    <w:rsid w:val="003F48AE"/>
    <w:rsid w:val="003F647F"/>
    <w:rsid w:val="003F6B68"/>
    <w:rsid w:val="003F70B1"/>
    <w:rsid w:val="003F7530"/>
    <w:rsid w:val="004003DD"/>
    <w:rsid w:val="004020AC"/>
    <w:rsid w:val="00402884"/>
    <w:rsid w:val="004031AB"/>
    <w:rsid w:val="00404DA7"/>
    <w:rsid w:val="004055FE"/>
    <w:rsid w:val="0040622E"/>
    <w:rsid w:val="004067BF"/>
    <w:rsid w:val="0041242C"/>
    <w:rsid w:val="0041286D"/>
    <w:rsid w:val="00412CBB"/>
    <w:rsid w:val="004131E1"/>
    <w:rsid w:val="00413FE0"/>
    <w:rsid w:val="00414D9F"/>
    <w:rsid w:val="00416B24"/>
    <w:rsid w:val="00421127"/>
    <w:rsid w:val="00421C35"/>
    <w:rsid w:val="00422CA1"/>
    <w:rsid w:val="00424F40"/>
    <w:rsid w:val="00426C69"/>
    <w:rsid w:val="00427A97"/>
    <w:rsid w:val="00430732"/>
    <w:rsid w:val="004319CE"/>
    <w:rsid w:val="00431C54"/>
    <w:rsid w:val="00433137"/>
    <w:rsid w:val="0043337F"/>
    <w:rsid w:val="004341BC"/>
    <w:rsid w:val="00434432"/>
    <w:rsid w:val="00434E26"/>
    <w:rsid w:val="00435740"/>
    <w:rsid w:val="00436368"/>
    <w:rsid w:val="00437139"/>
    <w:rsid w:val="0043741A"/>
    <w:rsid w:val="00437D0F"/>
    <w:rsid w:val="00440A22"/>
    <w:rsid w:val="00443068"/>
    <w:rsid w:val="00443BF6"/>
    <w:rsid w:val="00443FFB"/>
    <w:rsid w:val="00444100"/>
    <w:rsid w:val="0044432F"/>
    <w:rsid w:val="004448C8"/>
    <w:rsid w:val="00445B82"/>
    <w:rsid w:val="0044616F"/>
    <w:rsid w:val="0044649B"/>
    <w:rsid w:val="00446565"/>
    <w:rsid w:val="00447FA4"/>
    <w:rsid w:val="00450D1A"/>
    <w:rsid w:val="00453C9A"/>
    <w:rsid w:val="00454A61"/>
    <w:rsid w:val="004559A2"/>
    <w:rsid w:val="00455A27"/>
    <w:rsid w:val="00456986"/>
    <w:rsid w:val="00457567"/>
    <w:rsid w:val="00460920"/>
    <w:rsid w:val="00461523"/>
    <w:rsid w:val="00463664"/>
    <w:rsid w:val="004636CB"/>
    <w:rsid w:val="00466F30"/>
    <w:rsid w:val="0047025C"/>
    <w:rsid w:val="0047057A"/>
    <w:rsid w:val="004708EA"/>
    <w:rsid w:val="004718C3"/>
    <w:rsid w:val="00471ADD"/>
    <w:rsid w:val="00471E28"/>
    <w:rsid w:val="004727F0"/>
    <w:rsid w:val="004749E6"/>
    <w:rsid w:val="00475327"/>
    <w:rsid w:val="004754E2"/>
    <w:rsid w:val="00475650"/>
    <w:rsid w:val="004756B4"/>
    <w:rsid w:val="004757FA"/>
    <w:rsid w:val="00475820"/>
    <w:rsid w:val="00482EA7"/>
    <w:rsid w:val="00484C60"/>
    <w:rsid w:val="004853A1"/>
    <w:rsid w:val="00485CCD"/>
    <w:rsid w:val="00486F7C"/>
    <w:rsid w:val="00487070"/>
    <w:rsid w:val="00487CE9"/>
    <w:rsid w:val="004902C5"/>
    <w:rsid w:val="004902E8"/>
    <w:rsid w:val="00490A86"/>
    <w:rsid w:val="0049163D"/>
    <w:rsid w:val="004921BE"/>
    <w:rsid w:val="00492673"/>
    <w:rsid w:val="00492B3E"/>
    <w:rsid w:val="00492DDD"/>
    <w:rsid w:val="004938EA"/>
    <w:rsid w:val="00494784"/>
    <w:rsid w:val="00495B55"/>
    <w:rsid w:val="00496053"/>
    <w:rsid w:val="004965A7"/>
    <w:rsid w:val="00496F09"/>
    <w:rsid w:val="00497146"/>
    <w:rsid w:val="004A01FF"/>
    <w:rsid w:val="004A029A"/>
    <w:rsid w:val="004A0849"/>
    <w:rsid w:val="004A1923"/>
    <w:rsid w:val="004A1A7E"/>
    <w:rsid w:val="004A1C50"/>
    <w:rsid w:val="004A1E91"/>
    <w:rsid w:val="004A22E4"/>
    <w:rsid w:val="004A2EA7"/>
    <w:rsid w:val="004A4CFD"/>
    <w:rsid w:val="004A581F"/>
    <w:rsid w:val="004B02F3"/>
    <w:rsid w:val="004B03A5"/>
    <w:rsid w:val="004B07DE"/>
    <w:rsid w:val="004B1042"/>
    <w:rsid w:val="004B1138"/>
    <w:rsid w:val="004B1843"/>
    <w:rsid w:val="004B277C"/>
    <w:rsid w:val="004B2887"/>
    <w:rsid w:val="004B2E66"/>
    <w:rsid w:val="004B4859"/>
    <w:rsid w:val="004B597A"/>
    <w:rsid w:val="004B6A8E"/>
    <w:rsid w:val="004B73E5"/>
    <w:rsid w:val="004C0356"/>
    <w:rsid w:val="004C0459"/>
    <w:rsid w:val="004C1143"/>
    <w:rsid w:val="004C2542"/>
    <w:rsid w:val="004C25A4"/>
    <w:rsid w:val="004C3BFC"/>
    <w:rsid w:val="004C6065"/>
    <w:rsid w:val="004C678E"/>
    <w:rsid w:val="004C6C63"/>
    <w:rsid w:val="004C7F4C"/>
    <w:rsid w:val="004D2A04"/>
    <w:rsid w:val="004D2D00"/>
    <w:rsid w:val="004D2F81"/>
    <w:rsid w:val="004D31F1"/>
    <w:rsid w:val="004D661E"/>
    <w:rsid w:val="004E0CA0"/>
    <w:rsid w:val="004E1DBD"/>
    <w:rsid w:val="004E2AE9"/>
    <w:rsid w:val="004E41FF"/>
    <w:rsid w:val="004E4655"/>
    <w:rsid w:val="004E510B"/>
    <w:rsid w:val="004E5331"/>
    <w:rsid w:val="004E5B45"/>
    <w:rsid w:val="004E69F4"/>
    <w:rsid w:val="004E6BEE"/>
    <w:rsid w:val="004E7910"/>
    <w:rsid w:val="004E7CAC"/>
    <w:rsid w:val="004F1AF1"/>
    <w:rsid w:val="004F21E4"/>
    <w:rsid w:val="004F3243"/>
    <w:rsid w:val="004F3730"/>
    <w:rsid w:val="004F5923"/>
    <w:rsid w:val="004F6968"/>
    <w:rsid w:val="004F6C5C"/>
    <w:rsid w:val="004F768D"/>
    <w:rsid w:val="00500477"/>
    <w:rsid w:val="005007C4"/>
    <w:rsid w:val="005013AB"/>
    <w:rsid w:val="00501B2C"/>
    <w:rsid w:val="00501B9C"/>
    <w:rsid w:val="0050211F"/>
    <w:rsid w:val="005025CC"/>
    <w:rsid w:val="00502661"/>
    <w:rsid w:val="00503259"/>
    <w:rsid w:val="00504B84"/>
    <w:rsid w:val="00505C48"/>
    <w:rsid w:val="005062D4"/>
    <w:rsid w:val="0050679D"/>
    <w:rsid w:val="00507B35"/>
    <w:rsid w:val="00510098"/>
    <w:rsid w:val="00510302"/>
    <w:rsid w:val="00510361"/>
    <w:rsid w:val="00510926"/>
    <w:rsid w:val="00512642"/>
    <w:rsid w:val="005126B5"/>
    <w:rsid w:val="00512A6F"/>
    <w:rsid w:val="00515026"/>
    <w:rsid w:val="00516924"/>
    <w:rsid w:val="0051709C"/>
    <w:rsid w:val="00517FFC"/>
    <w:rsid w:val="00521077"/>
    <w:rsid w:val="00521C9A"/>
    <w:rsid w:val="00521F0E"/>
    <w:rsid w:val="005227F6"/>
    <w:rsid w:val="00522D3F"/>
    <w:rsid w:val="0052551C"/>
    <w:rsid w:val="00526647"/>
    <w:rsid w:val="00527F7A"/>
    <w:rsid w:val="00530055"/>
    <w:rsid w:val="00530A0B"/>
    <w:rsid w:val="0053142D"/>
    <w:rsid w:val="0053151E"/>
    <w:rsid w:val="005324D1"/>
    <w:rsid w:val="00532F55"/>
    <w:rsid w:val="00533E87"/>
    <w:rsid w:val="00534E52"/>
    <w:rsid w:val="005358FF"/>
    <w:rsid w:val="00535E75"/>
    <w:rsid w:val="00537A9C"/>
    <w:rsid w:val="00542B73"/>
    <w:rsid w:val="005443BC"/>
    <w:rsid w:val="00545624"/>
    <w:rsid w:val="00545B8B"/>
    <w:rsid w:val="00545BC9"/>
    <w:rsid w:val="005471E9"/>
    <w:rsid w:val="00547582"/>
    <w:rsid w:val="00547959"/>
    <w:rsid w:val="00547F5F"/>
    <w:rsid w:val="0055022D"/>
    <w:rsid w:val="00551BA5"/>
    <w:rsid w:val="00551EE8"/>
    <w:rsid w:val="0055225B"/>
    <w:rsid w:val="00552A12"/>
    <w:rsid w:val="0055386A"/>
    <w:rsid w:val="00553935"/>
    <w:rsid w:val="0055473B"/>
    <w:rsid w:val="005550D2"/>
    <w:rsid w:val="00555C5C"/>
    <w:rsid w:val="00555E08"/>
    <w:rsid w:val="00557077"/>
    <w:rsid w:val="005574DE"/>
    <w:rsid w:val="00557DCA"/>
    <w:rsid w:val="00560BCB"/>
    <w:rsid w:val="00561435"/>
    <w:rsid w:val="005624F7"/>
    <w:rsid w:val="005654F7"/>
    <w:rsid w:val="005657CE"/>
    <w:rsid w:val="005657DB"/>
    <w:rsid w:val="00566590"/>
    <w:rsid w:val="00566AA3"/>
    <w:rsid w:val="00566EA1"/>
    <w:rsid w:val="00566FA6"/>
    <w:rsid w:val="00566FF7"/>
    <w:rsid w:val="00567BCE"/>
    <w:rsid w:val="00567F74"/>
    <w:rsid w:val="00570333"/>
    <w:rsid w:val="005705CB"/>
    <w:rsid w:val="0057089D"/>
    <w:rsid w:val="00570A49"/>
    <w:rsid w:val="00570B9E"/>
    <w:rsid w:val="00570CF3"/>
    <w:rsid w:val="00570F87"/>
    <w:rsid w:val="00571C0E"/>
    <w:rsid w:val="00574D8A"/>
    <w:rsid w:val="00575772"/>
    <w:rsid w:val="0057586B"/>
    <w:rsid w:val="00577D57"/>
    <w:rsid w:val="00577E4A"/>
    <w:rsid w:val="00580035"/>
    <w:rsid w:val="0058051D"/>
    <w:rsid w:val="00581B5D"/>
    <w:rsid w:val="00583419"/>
    <w:rsid w:val="00583EA7"/>
    <w:rsid w:val="00583F5D"/>
    <w:rsid w:val="00584A90"/>
    <w:rsid w:val="00585A9F"/>
    <w:rsid w:val="00586A48"/>
    <w:rsid w:val="005870B1"/>
    <w:rsid w:val="00587238"/>
    <w:rsid w:val="00587BE8"/>
    <w:rsid w:val="00587F93"/>
    <w:rsid w:val="005902ED"/>
    <w:rsid w:val="00590A28"/>
    <w:rsid w:val="00590A81"/>
    <w:rsid w:val="00591604"/>
    <w:rsid w:val="005920B7"/>
    <w:rsid w:val="0059285F"/>
    <w:rsid w:val="00592B6D"/>
    <w:rsid w:val="00593A5A"/>
    <w:rsid w:val="00593C97"/>
    <w:rsid w:val="00595F53"/>
    <w:rsid w:val="00597FEA"/>
    <w:rsid w:val="005A12EC"/>
    <w:rsid w:val="005A1650"/>
    <w:rsid w:val="005A16BB"/>
    <w:rsid w:val="005A1EDB"/>
    <w:rsid w:val="005A22B4"/>
    <w:rsid w:val="005A3FE3"/>
    <w:rsid w:val="005A5433"/>
    <w:rsid w:val="005A5990"/>
    <w:rsid w:val="005A5B07"/>
    <w:rsid w:val="005A6001"/>
    <w:rsid w:val="005B042A"/>
    <w:rsid w:val="005B0C0F"/>
    <w:rsid w:val="005B1DDB"/>
    <w:rsid w:val="005B2B53"/>
    <w:rsid w:val="005B372E"/>
    <w:rsid w:val="005B3CC8"/>
    <w:rsid w:val="005B3D98"/>
    <w:rsid w:val="005B462D"/>
    <w:rsid w:val="005B5931"/>
    <w:rsid w:val="005B5DCD"/>
    <w:rsid w:val="005B6890"/>
    <w:rsid w:val="005B71DC"/>
    <w:rsid w:val="005B75A4"/>
    <w:rsid w:val="005C0F23"/>
    <w:rsid w:val="005C21F0"/>
    <w:rsid w:val="005C3A70"/>
    <w:rsid w:val="005C3B8A"/>
    <w:rsid w:val="005C3D9D"/>
    <w:rsid w:val="005C43F9"/>
    <w:rsid w:val="005C4EDE"/>
    <w:rsid w:val="005C5DB5"/>
    <w:rsid w:val="005C6967"/>
    <w:rsid w:val="005C7A7E"/>
    <w:rsid w:val="005D1B86"/>
    <w:rsid w:val="005D1D5A"/>
    <w:rsid w:val="005D1E44"/>
    <w:rsid w:val="005D2EDF"/>
    <w:rsid w:val="005D3655"/>
    <w:rsid w:val="005D417F"/>
    <w:rsid w:val="005D47A1"/>
    <w:rsid w:val="005D47ED"/>
    <w:rsid w:val="005D5FF8"/>
    <w:rsid w:val="005D62B4"/>
    <w:rsid w:val="005D65AD"/>
    <w:rsid w:val="005D6D9E"/>
    <w:rsid w:val="005D6FE8"/>
    <w:rsid w:val="005D7132"/>
    <w:rsid w:val="005D7852"/>
    <w:rsid w:val="005D7991"/>
    <w:rsid w:val="005D7EDB"/>
    <w:rsid w:val="005E04F4"/>
    <w:rsid w:val="005E0F1F"/>
    <w:rsid w:val="005E1EE6"/>
    <w:rsid w:val="005E2CEA"/>
    <w:rsid w:val="005E33F2"/>
    <w:rsid w:val="005E37D4"/>
    <w:rsid w:val="005E39D7"/>
    <w:rsid w:val="005E3C71"/>
    <w:rsid w:val="005E41E9"/>
    <w:rsid w:val="005E4751"/>
    <w:rsid w:val="005E59A2"/>
    <w:rsid w:val="005E7142"/>
    <w:rsid w:val="005F11F7"/>
    <w:rsid w:val="005F190D"/>
    <w:rsid w:val="005F5B53"/>
    <w:rsid w:val="005F7DC0"/>
    <w:rsid w:val="006001D4"/>
    <w:rsid w:val="00600E45"/>
    <w:rsid w:val="006018A3"/>
    <w:rsid w:val="0060262D"/>
    <w:rsid w:val="006039D1"/>
    <w:rsid w:val="00603A31"/>
    <w:rsid w:val="0060406E"/>
    <w:rsid w:val="00605449"/>
    <w:rsid w:val="00606149"/>
    <w:rsid w:val="006069B7"/>
    <w:rsid w:val="00606A62"/>
    <w:rsid w:val="00606C21"/>
    <w:rsid w:val="00607643"/>
    <w:rsid w:val="006078ED"/>
    <w:rsid w:val="00607A67"/>
    <w:rsid w:val="00607C4E"/>
    <w:rsid w:val="00607EAD"/>
    <w:rsid w:val="006105BC"/>
    <w:rsid w:val="00610C53"/>
    <w:rsid w:val="006111BB"/>
    <w:rsid w:val="00611460"/>
    <w:rsid w:val="0061231F"/>
    <w:rsid w:val="00613D3D"/>
    <w:rsid w:val="00616CD1"/>
    <w:rsid w:val="00616D00"/>
    <w:rsid w:val="00617C75"/>
    <w:rsid w:val="00617F19"/>
    <w:rsid w:val="006202B0"/>
    <w:rsid w:val="0062050F"/>
    <w:rsid w:val="006206C6"/>
    <w:rsid w:val="00620DAF"/>
    <w:rsid w:val="00621383"/>
    <w:rsid w:val="00622353"/>
    <w:rsid w:val="00622B58"/>
    <w:rsid w:val="006231D4"/>
    <w:rsid w:val="0062365A"/>
    <w:rsid w:val="006237EB"/>
    <w:rsid w:val="00623D64"/>
    <w:rsid w:val="0062451C"/>
    <w:rsid w:val="006253B6"/>
    <w:rsid w:val="006258BF"/>
    <w:rsid w:val="00626C16"/>
    <w:rsid w:val="00626E51"/>
    <w:rsid w:val="006276D5"/>
    <w:rsid w:val="006300D8"/>
    <w:rsid w:val="006301A6"/>
    <w:rsid w:val="00631167"/>
    <w:rsid w:val="00631565"/>
    <w:rsid w:val="0063191D"/>
    <w:rsid w:val="00632B87"/>
    <w:rsid w:val="00633189"/>
    <w:rsid w:val="00634CED"/>
    <w:rsid w:val="0064048D"/>
    <w:rsid w:val="00642FA6"/>
    <w:rsid w:val="00644712"/>
    <w:rsid w:val="006466E6"/>
    <w:rsid w:val="0065064B"/>
    <w:rsid w:val="00650995"/>
    <w:rsid w:val="00650C21"/>
    <w:rsid w:val="00651268"/>
    <w:rsid w:val="0065144E"/>
    <w:rsid w:val="00651C0B"/>
    <w:rsid w:val="0065243F"/>
    <w:rsid w:val="00652B1E"/>
    <w:rsid w:val="00653859"/>
    <w:rsid w:val="00653B92"/>
    <w:rsid w:val="00653DAC"/>
    <w:rsid w:val="00654463"/>
    <w:rsid w:val="00654A46"/>
    <w:rsid w:val="00654CB2"/>
    <w:rsid w:val="00654CCE"/>
    <w:rsid w:val="00654EAA"/>
    <w:rsid w:val="00656527"/>
    <w:rsid w:val="0065664F"/>
    <w:rsid w:val="006571C0"/>
    <w:rsid w:val="00657669"/>
    <w:rsid w:val="00657EA1"/>
    <w:rsid w:val="0066072E"/>
    <w:rsid w:val="00660CD2"/>
    <w:rsid w:val="00661DAB"/>
    <w:rsid w:val="006628B9"/>
    <w:rsid w:val="00662F66"/>
    <w:rsid w:val="00662FE4"/>
    <w:rsid w:val="006632E3"/>
    <w:rsid w:val="0066563B"/>
    <w:rsid w:val="0066640C"/>
    <w:rsid w:val="00666B15"/>
    <w:rsid w:val="00666F0D"/>
    <w:rsid w:val="00666F17"/>
    <w:rsid w:val="00666FAA"/>
    <w:rsid w:val="00667A01"/>
    <w:rsid w:val="00667DA4"/>
    <w:rsid w:val="0067048D"/>
    <w:rsid w:val="00670BEE"/>
    <w:rsid w:val="00672127"/>
    <w:rsid w:val="006722C6"/>
    <w:rsid w:val="006723C4"/>
    <w:rsid w:val="00672464"/>
    <w:rsid w:val="006740EA"/>
    <w:rsid w:val="00676B6A"/>
    <w:rsid w:val="006770BB"/>
    <w:rsid w:val="006776FE"/>
    <w:rsid w:val="00677B00"/>
    <w:rsid w:val="0068044E"/>
    <w:rsid w:val="00681333"/>
    <w:rsid w:val="00681717"/>
    <w:rsid w:val="00681832"/>
    <w:rsid w:val="00681A28"/>
    <w:rsid w:val="006824B4"/>
    <w:rsid w:val="00682864"/>
    <w:rsid w:val="00682FB3"/>
    <w:rsid w:val="00683931"/>
    <w:rsid w:val="006843C1"/>
    <w:rsid w:val="00684405"/>
    <w:rsid w:val="006868CC"/>
    <w:rsid w:val="006879A8"/>
    <w:rsid w:val="0069183C"/>
    <w:rsid w:val="00691C2A"/>
    <w:rsid w:val="0069341F"/>
    <w:rsid w:val="006938B9"/>
    <w:rsid w:val="00693EB4"/>
    <w:rsid w:val="00695EB9"/>
    <w:rsid w:val="00697C4B"/>
    <w:rsid w:val="006A00B2"/>
    <w:rsid w:val="006A0D76"/>
    <w:rsid w:val="006A0EB0"/>
    <w:rsid w:val="006A145D"/>
    <w:rsid w:val="006A1691"/>
    <w:rsid w:val="006A3536"/>
    <w:rsid w:val="006A384E"/>
    <w:rsid w:val="006A3C02"/>
    <w:rsid w:val="006A5FD7"/>
    <w:rsid w:val="006A672E"/>
    <w:rsid w:val="006A6FBD"/>
    <w:rsid w:val="006A76D1"/>
    <w:rsid w:val="006B225F"/>
    <w:rsid w:val="006B25C8"/>
    <w:rsid w:val="006B2A29"/>
    <w:rsid w:val="006B3106"/>
    <w:rsid w:val="006B3230"/>
    <w:rsid w:val="006B3477"/>
    <w:rsid w:val="006B56EA"/>
    <w:rsid w:val="006B5C43"/>
    <w:rsid w:val="006B5C97"/>
    <w:rsid w:val="006B7C91"/>
    <w:rsid w:val="006C0253"/>
    <w:rsid w:val="006C1C3F"/>
    <w:rsid w:val="006C1DC8"/>
    <w:rsid w:val="006C2325"/>
    <w:rsid w:val="006C2F33"/>
    <w:rsid w:val="006C3F32"/>
    <w:rsid w:val="006C55F3"/>
    <w:rsid w:val="006C5906"/>
    <w:rsid w:val="006C661F"/>
    <w:rsid w:val="006C6650"/>
    <w:rsid w:val="006D028B"/>
    <w:rsid w:val="006D09C9"/>
    <w:rsid w:val="006D0EB6"/>
    <w:rsid w:val="006D1848"/>
    <w:rsid w:val="006D3DCD"/>
    <w:rsid w:val="006D43B0"/>
    <w:rsid w:val="006D514F"/>
    <w:rsid w:val="006D6161"/>
    <w:rsid w:val="006D618F"/>
    <w:rsid w:val="006D62A1"/>
    <w:rsid w:val="006D69BA"/>
    <w:rsid w:val="006D6CC8"/>
    <w:rsid w:val="006D7F2C"/>
    <w:rsid w:val="006E0CFB"/>
    <w:rsid w:val="006E20B5"/>
    <w:rsid w:val="006E3376"/>
    <w:rsid w:val="006E34CF"/>
    <w:rsid w:val="006E5D9E"/>
    <w:rsid w:val="006E6E4B"/>
    <w:rsid w:val="006E7DB9"/>
    <w:rsid w:val="006F1C56"/>
    <w:rsid w:val="006F20EB"/>
    <w:rsid w:val="006F228A"/>
    <w:rsid w:val="006F2CA7"/>
    <w:rsid w:val="006F41F5"/>
    <w:rsid w:val="006F5C5C"/>
    <w:rsid w:val="006F6AA0"/>
    <w:rsid w:val="006F72FF"/>
    <w:rsid w:val="006F75A5"/>
    <w:rsid w:val="0070188C"/>
    <w:rsid w:val="00704948"/>
    <w:rsid w:val="0070553B"/>
    <w:rsid w:val="00706061"/>
    <w:rsid w:val="0071030D"/>
    <w:rsid w:val="0071310E"/>
    <w:rsid w:val="00713949"/>
    <w:rsid w:val="00713DB2"/>
    <w:rsid w:val="00713F9F"/>
    <w:rsid w:val="00714B1F"/>
    <w:rsid w:val="00714DE1"/>
    <w:rsid w:val="00715334"/>
    <w:rsid w:val="007177E1"/>
    <w:rsid w:val="00717E3E"/>
    <w:rsid w:val="00720A94"/>
    <w:rsid w:val="0072127A"/>
    <w:rsid w:val="00721FDD"/>
    <w:rsid w:val="00722386"/>
    <w:rsid w:val="00722AE2"/>
    <w:rsid w:val="0072358F"/>
    <w:rsid w:val="00723CCC"/>
    <w:rsid w:val="00724B59"/>
    <w:rsid w:val="0072540A"/>
    <w:rsid w:val="00726E06"/>
    <w:rsid w:val="00727320"/>
    <w:rsid w:val="00727DFB"/>
    <w:rsid w:val="007326DE"/>
    <w:rsid w:val="007332D9"/>
    <w:rsid w:val="00733AA6"/>
    <w:rsid w:val="00733EE9"/>
    <w:rsid w:val="00734F97"/>
    <w:rsid w:val="00735218"/>
    <w:rsid w:val="007356FC"/>
    <w:rsid w:val="00737383"/>
    <w:rsid w:val="00737A04"/>
    <w:rsid w:val="007400F6"/>
    <w:rsid w:val="00740F2D"/>
    <w:rsid w:val="00741427"/>
    <w:rsid w:val="0074197B"/>
    <w:rsid w:val="0074214E"/>
    <w:rsid w:val="0074384D"/>
    <w:rsid w:val="00744D1C"/>
    <w:rsid w:val="007462C7"/>
    <w:rsid w:val="0074754B"/>
    <w:rsid w:val="00751785"/>
    <w:rsid w:val="00753A61"/>
    <w:rsid w:val="0075488A"/>
    <w:rsid w:val="00755452"/>
    <w:rsid w:val="007554A0"/>
    <w:rsid w:val="00755BE5"/>
    <w:rsid w:val="00757747"/>
    <w:rsid w:val="00757EF3"/>
    <w:rsid w:val="0076201B"/>
    <w:rsid w:val="007629D7"/>
    <w:rsid w:val="00762BB4"/>
    <w:rsid w:val="00764D7C"/>
    <w:rsid w:val="00765490"/>
    <w:rsid w:val="00765BD9"/>
    <w:rsid w:val="00766BC2"/>
    <w:rsid w:val="00770723"/>
    <w:rsid w:val="007708B8"/>
    <w:rsid w:val="0077127B"/>
    <w:rsid w:val="00771C7A"/>
    <w:rsid w:val="00772157"/>
    <w:rsid w:val="00773135"/>
    <w:rsid w:val="00774034"/>
    <w:rsid w:val="00774BA6"/>
    <w:rsid w:val="007750FF"/>
    <w:rsid w:val="007759F8"/>
    <w:rsid w:val="00775BEC"/>
    <w:rsid w:val="00776193"/>
    <w:rsid w:val="007767C3"/>
    <w:rsid w:val="00777880"/>
    <w:rsid w:val="00777BE3"/>
    <w:rsid w:val="007803B3"/>
    <w:rsid w:val="00780DE9"/>
    <w:rsid w:val="00781406"/>
    <w:rsid w:val="00781407"/>
    <w:rsid w:val="007819EC"/>
    <w:rsid w:val="00782894"/>
    <w:rsid w:val="00782BCC"/>
    <w:rsid w:val="00782D83"/>
    <w:rsid w:val="00782F04"/>
    <w:rsid w:val="00784C0A"/>
    <w:rsid w:val="007850AE"/>
    <w:rsid w:val="00785DDA"/>
    <w:rsid w:val="00786AAE"/>
    <w:rsid w:val="00787171"/>
    <w:rsid w:val="00787698"/>
    <w:rsid w:val="00787AC9"/>
    <w:rsid w:val="00790B9F"/>
    <w:rsid w:val="0079149E"/>
    <w:rsid w:val="007915FB"/>
    <w:rsid w:val="00791BBF"/>
    <w:rsid w:val="00793670"/>
    <w:rsid w:val="00793FD5"/>
    <w:rsid w:val="0079460C"/>
    <w:rsid w:val="0079474F"/>
    <w:rsid w:val="00795905"/>
    <w:rsid w:val="00795A94"/>
    <w:rsid w:val="00795C3B"/>
    <w:rsid w:val="007971FF"/>
    <w:rsid w:val="0079742B"/>
    <w:rsid w:val="007A0D86"/>
    <w:rsid w:val="007A0F1B"/>
    <w:rsid w:val="007A18A1"/>
    <w:rsid w:val="007A296F"/>
    <w:rsid w:val="007A2C0A"/>
    <w:rsid w:val="007A2FBD"/>
    <w:rsid w:val="007A32AB"/>
    <w:rsid w:val="007A36C7"/>
    <w:rsid w:val="007A4787"/>
    <w:rsid w:val="007A4BEA"/>
    <w:rsid w:val="007A4E66"/>
    <w:rsid w:val="007A4F92"/>
    <w:rsid w:val="007A5277"/>
    <w:rsid w:val="007A66C6"/>
    <w:rsid w:val="007A6778"/>
    <w:rsid w:val="007A69A5"/>
    <w:rsid w:val="007A6D5B"/>
    <w:rsid w:val="007A6E75"/>
    <w:rsid w:val="007A7455"/>
    <w:rsid w:val="007A7772"/>
    <w:rsid w:val="007A7806"/>
    <w:rsid w:val="007B0C71"/>
    <w:rsid w:val="007B0EE9"/>
    <w:rsid w:val="007B114C"/>
    <w:rsid w:val="007B15AD"/>
    <w:rsid w:val="007B2441"/>
    <w:rsid w:val="007B36F5"/>
    <w:rsid w:val="007B41E1"/>
    <w:rsid w:val="007B4456"/>
    <w:rsid w:val="007B4BF4"/>
    <w:rsid w:val="007B60F2"/>
    <w:rsid w:val="007B6385"/>
    <w:rsid w:val="007B6FC7"/>
    <w:rsid w:val="007B75F7"/>
    <w:rsid w:val="007C01F0"/>
    <w:rsid w:val="007C0730"/>
    <w:rsid w:val="007C16EA"/>
    <w:rsid w:val="007C1B24"/>
    <w:rsid w:val="007C2C6E"/>
    <w:rsid w:val="007C39C6"/>
    <w:rsid w:val="007C6ADA"/>
    <w:rsid w:val="007C6DAC"/>
    <w:rsid w:val="007C7273"/>
    <w:rsid w:val="007C78C2"/>
    <w:rsid w:val="007C7D83"/>
    <w:rsid w:val="007D00D2"/>
    <w:rsid w:val="007D1E08"/>
    <w:rsid w:val="007D2BF7"/>
    <w:rsid w:val="007D3385"/>
    <w:rsid w:val="007D4453"/>
    <w:rsid w:val="007D5852"/>
    <w:rsid w:val="007E03D4"/>
    <w:rsid w:val="007E22EC"/>
    <w:rsid w:val="007E2557"/>
    <w:rsid w:val="007E29DD"/>
    <w:rsid w:val="007E4285"/>
    <w:rsid w:val="007E4AF9"/>
    <w:rsid w:val="007E4BB8"/>
    <w:rsid w:val="007E50D8"/>
    <w:rsid w:val="007E5443"/>
    <w:rsid w:val="007E62CF"/>
    <w:rsid w:val="007E6E16"/>
    <w:rsid w:val="007E7487"/>
    <w:rsid w:val="007F0E59"/>
    <w:rsid w:val="007F12DB"/>
    <w:rsid w:val="007F1749"/>
    <w:rsid w:val="007F2201"/>
    <w:rsid w:val="007F2447"/>
    <w:rsid w:val="007F2A4E"/>
    <w:rsid w:val="007F4FE2"/>
    <w:rsid w:val="007F52FD"/>
    <w:rsid w:val="007F72AA"/>
    <w:rsid w:val="00800350"/>
    <w:rsid w:val="0080160A"/>
    <w:rsid w:val="008022C8"/>
    <w:rsid w:val="00803E38"/>
    <w:rsid w:val="00804A23"/>
    <w:rsid w:val="00804D39"/>
    <w:rsid w:val="008051DD"/>
    <w:rsid w:val="0080529F"/>
    <w:rsid w:val="00805859"/>
    <w:rsid w:val="00806458"/>
    <w:rsid w:val="008067DD"/>
    <w:rsid w:val="00811619"/>
    <w:rsid w:val="008119D8"/>
    <w:rsid w:val="00811D96"/>
    <w:rsid w:val="00813141"/>
    <w:rsid w:val="00813998"/>
    <w:rsid w:val="00813E40"/>
    <w:rsid w:val="0081595E"/>
    <w:rsid w:val="00816798"/>
    <w:rsid w:val="00820C69"/>
    <w:rsid w:val="00820C71"/>
    <w:rsid w:val="00820EFA"/>
    <w:rsid w:val="00821ACC"/>
    <w:rsid w:val="00822703"/>
    <w:rsid w:val="0082352F"/>
    <w:rsid w:val="008236CF"/>
    <w:rsid w:val="00824867"/>
    <w:rsid w:val="00824D55"/>
    <w:rsid w:val="0082554F"/>
    <w:rsid w:val="00827E1D"/>
    <w:rsid w:val="00831D73"/>
    <w:rsid w:val="0083227B"/>
    <w:rsid w:val="0083369F"/>
    <w:rsid w:val="00833C4B"/>
    <w:rsid w:val="0083503C"/>
    <w:rsid w:val="00836C24"/>
    <w:rsid w:val="00837278"/>
    <w:rsid w:val="008379A6"/>
    <w:rsid w:val="0084073D"/>
    <w:rsid w:val="008415F6"/>
    <w:rsid w:val="008431D6"/>
    <w:rsid w:val="0084394F"/>
    <w:rsid w:val="00843B25"/>
    <w:rsid w:val="00844870"/>
    <w:rsid w:val="00844961"/>
    <w:rsid w:val="0084536D"/>
    <w:rsid w:val="008462E4"/>
    <w:rsid w:val="00846F0B"/>
    <w:rsid w:val="00847A9D"/>
    <w:rsid w:val="00850BCD"/>
    <w:rsid w:val="00851A78"/>
    <w:rsid w:val="008522E2"/>
    <w:rsid w:val="00855215"/>
    <w:rsid w:val="00855522"/>
    <w:rsid w:val="008569EA"/>
    <w:rsid w:val="00856B72"/>
    <w:rsid w:val="00857740"/>
    <w:rsid w:val="008579B2"/>
    <w:rsid w:val="00857A2D"/>
    <w:rsid w:val="008608F4"/>
    <w:rsid w:val="00861277"/>
    <w:rsid w:val="00861C70"/>
    <w:rsid w:val="00862006"/>
    <w:rsid w:val="00863C5B"/>
    <w:rsid w:val="00863FFD"/>
    <w:rsid w:val="00865E38"/>
    <w:rsid w:val="00866636"/>
    <w:rsid w:val="008671D7"/>
    <w:rsid w:val="00867EF3"/>
    <w:rsid w:val="00871FB4"/>
    <w:rsid w:val="00872ABD"/>
    <w:rsid w:val="00872ED2"/>
    <w:rsid w:val="00873064"/>
    <w:rsid w:val="00873099"/>
    <w:rsid w:val="00874537"/>
    <w:rsid w:val="00875BBC"/>
    <w:rsid w:val="00877BDD"/>
    <w:rsid w:val="0088086F"/>
    <w:rsid w:val="00880DE1"/>
    <w:rsid w:val="00881255"/>
    <w:rsid w:val="00883C7E"/>
    <w:rsid w:val="008847CE"/>
    <w:rsid w:val="00884ABF"/>
    <w:rsid w:val="008852E8"/>
    <w:rsid w:val="008855A5"/>
    <w:rsid w:val="00886310"/>
    <w:rsid w:val="0089001B"/>
    <w:rsid w:val="00890C84"/>
    <w:rsid w:val="00890E09"/>
    <w:rsid w:val="00893A9C"/>
    <w:rsid w:val="00893ED3"/>
    <w:rsid w:val="008946AC"/>
    <w:rsid w:val="008948E1"/>
    <w:rsid w:val="008964EB"/>
    <w:rsid w:val="00897C4F"/>
    <w:rsid w:val="008A00C4"/>
    <w:rsid w:val="008A024A"/>
    <w:rsid w:val="008A21C2"/>
    <w:rsid w:val="008A27A4"/>
    <w:rsid w:val="008A309C"/>
    <w:rsid w:val="008A3114"/>
    <w:rsid w:val="008A4BA7"/>
    <w:rsid w:val="008A5D61"/>
    <w:rsid w:val="008A691C"/>
    <w:rsid w:val="008B1CE3"/>
    <w:rsid w:val="008B2D5F"/>
    <w:rsid w:val="008B3CE0"/>
    <w:rsid w:val="008B48DD"/>
    <w:rsid w:val="008B4C29"/>
    <w:rsid w:val="008B53DC"/>
    <w:rsid w:val="008B6BDF"/>
    <w:rsid w:val="008C07CD"/>
    <w:rsid w:val="008C16C8"/>
    <w:rsid w:val="008C183A"/>
    <w:rsid w:val="008C1F69"/>
    <w:rsid w:val="008C2568"/>
    <w:rsid w:val="008C2833"/>
    <w:rsid w:val="008C42D3"/>
    <w:rsid w:val="008C4749"/>
    <w:rsid w:val="008C60D9"/>
    <w:rsid w:val="008C6F79"/>
    <w:rsid w:val="008C7141"/>
    <w:rsid w:val="008D00CC"/>
    <w:rsid w:val="008D32F7"/>
    <w:rsid w:val="008D3491"/>
    <w:rsid w:val="008D3A9A"/>
    <w:rsid w:val="008D6351"/>
    <w:rsid w:val="008D6EB5"/>
    <w:rsid w:val="008E0A99"/>
    <w:rsid w:val="008E0E0C"/>
    <w:rsid w:val="008E0E4A"/>
    <w:rsid w:val="008E1175"/>
    <w:rsid w:val="008E151D"/>
    <w:rsid w:val="008E1F4A"/>
    <w:rsid w:val="008E24FB"/>
    <w:rsid w:val="008E315D"/>
    <w:rsid w:val="008E326C"/>
    <w:rsid w:val="008E3D7C"/>
    <w:rsid w:val="008E40DF"/>
    <w:rsid w:val="008E52A4"/>
    <w:rsid w:val="008E5964"/>
    <w:rsid w:val="008E5D0F"/>
    <w:rsid w:val="008E63C1"/>
    <w:rsid w:val="008E6A8B"/>
    <w:rsid w:val="008E7710"/>
    <w:rsid w:val="008E7EC1"/>
    <w:rsid w:val="008F00CA"/>
    <w:rsid w:val="008F023D"/>
    <w:rsid w:val="008F0314"/>
    <w:rsid w:val="008F0F0A"/>
    <w:rsid w:val="008F15F9"/>
    <w:rsid w:val="008F2462"/>
    <w:rsid w:val="008F3AC6"/>
    <w:rsid w:val="008F3EF1"/>
    <w:rsid w:val="008F546D"/>
    <w:rsid w:val="008F54BB"/>
    <w:rsid w:val="008F57A2"/>
    <w:rsid w:val="008F6FBF"/>
    <w:rsid w:val="008F74A1"/>
    <w:rsid w:val="008F7506"/>
    <w:rsid w:val="008F7B69"/>
    <w:rsid w:val="00901199"/>
    <w:rsid w:val="00901626"/>
    <w:rsid w:val="00901C7A"/>
    <w:rsid w:val="00902BED"/>
    <w:rsid w:val="00905D5A"/>
    <w:rsid w:val="00906CE2"/>
    <w:rsid w:val="00907CEB"/>
    <w:rsid w:val="00907D07"/>
    <w:rsid w:val="00907FF6"/>
    <w:rsid w:val="00910590"/>
    <w:rsid w:val="0091084C"/>
    <w:rsid w:val="00911E47"/>
    <w:rsid w:val="009131C9"/>
    <w:rsid w:val="0091434C"/>
    <w:rsid w:val="00915530"/>
    <w:rsid w:val="00915C90"/>
    <w:rsid w:val="0091642F"/>
    <w:rsid w:val="0092053A"/>
    <w:rsid w:val="00921AB8"/>
    <w:rsid w:val="00921FF5"/>
    <w:rsid w:val="00924088"/>
    <w:rsid w:val="00924D73"/>
    <w:rsid w:val="009326E4"/>
    <w:rsid w:val="00932BD7"/>
    <w:rsid w:val="00932C28"/>
    <w:rsid w:val="009339B3"/>
    <w:rsid w:val="00934752"/>
    <w:rsid w:val="00934DA8"/>
    <w:rsid w:val="00934F3D"/>
    <w:rsid w:val="009352F0"/>
    <w:rsid w:val="00935D4F"/>
    <w:rsid w:val="00936464"/>
    <w:rsid w:val="00937656"/>
    <w:rsid w:val="00940B65"/>
    <w:rsid w:val="00941F07"/>
    <w:rsid w:val="009425E1"/>
    <w:rsid w:val="00943B7E"/>
    <w:rsid w:val="009447DA"/>
    <w:rsid w:val="00944BAF"/>
    <w:rsid w:val="009453FA"/>
    <w:rsid w:val="0094577D"/>
    <w:rsid w:val="00945A74"/>
    <w:rsid w:val="009461DB"/>
    <w:rsid w:val="009467D8"/>
    <w:rsid w:val="009479F9"/>
    <w:rsid w:val="00947CE2"/>
    <w:rsid w:val="00947D7D"/>
    <w:rsid w:val="00947D91"/>
    <w:rsid w:val="00953108"/>
    <w:rsid w:val="0095512E"/>
    <w:rsid w:val="00955E89"/>
    <w:rsid w:val="00956022"/>
    <w:rsid w:val="00956907"/>
    <w:rsid w:val="00957292"/>
    <w:rsid w:val="00957688"/>
    <w:rsid w:val="00957E39"/>
    <w:rsid w:val="00960029"/>
    <w:rsid w:val="00960C45"/>
    <w:rsid w:val="009623DE"/>
    <w:rsid w:val="009624DC"/>
    <w:rsid w:val="00962E40"/>
    <w:rsid w:val="00963390"/>
    <w:rsid w:val="00964AE2"/>
    <w:rsid w:val="00964FB2"/>
    <w:rsid w:val="00965A5C"/>
    <w:rsid w:val="00965EE7"/>
    <w:rsid w:val="00965FAD"/>
    <w:rsid w:val="00966D1E"/>
    <w:rsid w:val="00967039"/>
    <w:rsid w:val="00971A4B"/>
    <w:rsid w:val="009727A6"/>
    <w:rsid w:val="00973B38"/>
    <w:rsid w:val="00974D83"/>
    <w:rsid w:val="009803F0"/>
    <w:rsid w:val="00981070"/>
    <w:rsid w:val="00981337"/>
    <w:rsid w:val="0098134A"/>
    <w:rsid w:val="00981597"/>
    <w:rsid w:val="00982866"/>
    <w:rsid w:val="00983B08"/>
    <w:rsid w:val="00983E44"/>
    <w:rsid w:val="009849EB"/>
    <w:rsid w:val="00984E63"/>
    <w:rsid w:val="009868FF"/>
    <w:rsid w:val="009875FC"/>
    <w:rsid w:val="009900CF"/>
    <w:rsid w:val="0099256B"/>
    <w:rsid w:val="009925F6"/>
    <w:rsid w:val="00992FBE"/>
    <w:rsid w:val="00993D06"/>
    <w:rsid w:val="009943B7"/>
    <w:rsid w:val="00996A37"/>
    <w:rsid w:val="0099749C"/>
    <w:rsid w:val="009A05BF"/>
    <w:rsid w:val="009A1B99"/>
    <w:rsid w:val="009A1D6D"/>
    <w:rsid w:val="009A235C"/>
    <w:rsid w:val="009A2D68"/>
    <w:rsid w:val="009A37A9"/>
    <w:rsid w:val="009A38D8"/>
    <w:rsid w:val="009A3E24"/>
    <w:rsid w:val="009A4612"/>
    <w:rsid w:val="009A4BB0"/>
    <w:rsid w:val="009A5956"/>
    <w:rsid w:val="009A6116"/>
    <w:rsid w:val="009A7344"/>
    <w:rsid w:val="009A764F"/>
    <w:rsid w:val="009A7F64"/>
    <w:rsid w:val="009B0CB6"/>
    <w:rsid w:val="009B0CB7"/>
    <w:rsid w:val="009B2CA7"/>
    <w:rsid w:val="009B337C"/>
    <w:rsid w:val="009B3E40"/>
    <w:rsid w:val="009B3FF6"/>
    <w:rsid w:val="009B43DF"/>
    <w:rsid w:val="009B464E"/>
    <w:rsid w:val="009B48CC"/>
    <w:rsid w:val="009B4A53"/>
    <w:rsid w:val="009B4C6B"/>
    <w:rsid w:val="009B4E6F"/>
    <w:rsid w:val="009B5193"/>
    <w:rsid w:val="009B59E7"/>
    <w:rsid w:val="009B5B02"/>
    <w:rsid w:val="009B6753"/>
    <w:rsid w:val="009B6828"/>
    <w:rsid w:val="009B7235"/>
    <w:rsid w:val="009C045B"/>
    <w:rsid w:val="009C04B8"/>
    <w:rsid w:val="009C1774"/>
    <w:rsid w:val="009C2043"/>
    <w:rsid w:val="009C3A0C"/>
    <w:rsid w:val="009C3FDA"/>
    <w:rsid w:val="009C5046"/>
    <w:rsid w:val="009C536E"/>
    <w:rsid w:val="009C5ED0"/>
    <w:rsid w:val="009C6FED"/>
    <w:rsid w:val="009C7974"/>
    <w:rsid w:val="009C7AF8"/>
    <w:rsid w:val="009D0CF5"/>
    <w:rsid w:val="009D1836"/>
    <w:rsid w:val="009D1928"/>
    <w:rsid w:val="009D1D2D"/>
    <w:rsid w:val="009D20AD"/>
    <w:rsid w:val="009D2236"/>
    <w:rsid w:val="009D28BF"/>
    <w:rsid w:val="009D2926"/>
    <w:rsid w:val="009D4B29"/>
    <w:rsid w:val="009D4FFF"/>
    <w:rsid w:val="009D62C8"/>
    <w:rsid w:val="009D7559"/>
    <w:rsid w:val="009D7EF3"/>
    <w:rsid w:val="009E01BF"/>
    <w:rsid w:val="009E0CB7"/>
    <w:rsid w:val="009E1320"/>
    <w:rsid w:val="009E161F"/>
    <w:rsid w:val="009E1B98"/>
    <w:rsid w:val="009E24E8"/>
    <w:rsid w:val="009E2B36"/>
    <w:rsid w:val="009E2F03"/>
    <w:rsid w:val="009E3180"/>
    <w:rsid w:val="009E3D7C"/>
    <w:rsid w:val="009E4112"/>
    <w:rsid w:val="009E57B4"/>
    <w:rsid w:val="009E7AB8"/>
    <w:rsid w:val="009F21EF"/>
    <w:rsid w:val="009F282C"/>
    <w:rsid w:val="009F2B7B"/>
    <w:rsid w:val="009F2BB4"/>
    <w:rsid w:val="009F388F"/>
    <w:rsid w:val="009F3A17"/>
    <w:rsid w:val="009F3BA2"/>
    <w:rsid w:val="009F5BE5"/>
    <w:rsid w:val="009F6367"/>
    <w:rsid w:val="009F6647"/>
    <w:rsid w:val="009F6BE2"/>
    <w:rsid w:val="009F6DEA"/>
    <w:rsid w:val="009F6F21"/>
    <w:rsid w:val="009F74B0"/>
    <w:rsid w:val="009F789E"/>
    <w:rsid w:val="00A020B5"/>
    <w:rsid w:val="00A02352"/>
    <w:rsid w:val="00A024BA"/>
    <w:rsid w:val="00A02C96"/>
    <w:rsid w:val="00A02FC7"/>
    <w:rsid w:val="00A0351B"/>
    <w:rsid w:val="00A045EF"/>
    <w:rsid w:val="00A04943"/>
    <w:rsid w:val="00A05387"/>
    <w:rsid w:val="00A05FE8"/>
    <w:rsid w:val="00A10160"/>
    <w:rsid w:val="00A106B0"/>
    <w:rsid w:val="00A120F5"/>
    <w:rsid w:val="00A130C5"/>
    <w:rsid w:val="00A13B6E"/>
    <w:rsid w:val="00A160AC"/>
    <w:rsid w:val="00A179F1"/>
    <w:rsid w:val="00A17C28"/>
    <w:rsid w:val="00A20AEC"/>
    <w:rsid w:val="00A20C6B"/>
    <w:rsid w:val="00A210C2"/>
    <w:rsid w:val="00A21F09"/>
    <w:rsid w:val="00A222D5"/>
    <w:rsid w:val="00A225C5"/>
    <w:rsid w:val="00A2335A"/>
    <w:rsid w:val="00A23A77"/>
    <w:rsid w:val="00A24C8C"/>
    <w:rsid w:val="00A24E8E"/>
    <w:rsid w:val="00A25203"/>
    <w:rsid w:val="00A25328"/>
    <w:rsid w:val="00A2559B"/>
    <w:rsid w:val="00A25616"/>
    <w:rsid w:val="00A25B69"/>
    <w:rsid w:val="00A25DE4"/>
    <w:rsid w:val="00A26591"/>
    <w:rsid w:val="00A27F69"/>
    <w:rsid w:val="00A31499"/>
    <w:rsid w:val="00A31ECC"/>
    <w:rsid w:val="00A32E94"/>
    <w:rsid w:val="00A32F5C"/>
    <w:rsid w:val="00A33717"/>
    <w:rsid w:val="00A3468D"/>
    <w:rsid w:val="00A34B8C"/>
    <w:rsid w:val="00A34EB9"/>
    <w:rsid w:val="00A35864"/>
    <w:rsid w:val="00A35DE4"/>
    <w:rsid w:val="00A361A5"/>
    <w:rsid w:val="00A37DB7"/>
    <w:rsid w:val="00A409C3"/>
    <w:rsid w:val="00A41324"/>
    <w:rsid w:val="00A4211E"/>
    <w:rsid w:val="00A42891"/>
    <w:rsid w:val="00A44BE2"/>
    <w:rsid w:val="00A44DAB"/>
    <w:rsid w:val="00A4560D"/>
    <w:rsid w:val="00A46377"/>
    <w:rsid w:val="00A4644B"/>
    <w:rsid w:val="00A4674E"/>
    <w:rsid w:val="00A5020D"/>
    <w:rsid w:val="00A504C5"/>
    <w:rsid w:val="00A505CE"/>
    <w:rsid w:val="00A50A5F"/>
    <w:rsid w:val="00A523EF"/>
    <w:rsid w:val="00A5255A"/>
    <w:rsid w:val="00A535ED"/>
    <w:rsid w:val="00A54B22"/>
    <w:rsid w:val="00A5568A"/>
    <w:rsid w:val="00A55BF6"/>
    <w:rsid w:val="00A572E3"/>
    <w:rsid w:val="00A57453"/>
    <w:rsid w:val="00A57667"/>
    <w:rsid w:val="00A60B16"/>
    <w:rsid w:val="00A628F5"/>
    <w:rsid w:val="00A63AEA"/>
    <w:rsid w:val="00A64379"/>
    <w:rsid w:val="00A643CD"/>
    <w:rsid w:val="00A646BC"/>
    <w:rsid w:val="00A65936"/>
    <w:rsid w:val="00A65D69"/>
    <w:rsid w:val="00A66B11"/>
    <w:rsid w:val="00A6770E"/>
    <w:rsid w:val="00A72854"/>
    <w:rsid w:val="00A736DA"/>
    <w:rsid w:val="00A738A6"/>
    <w:rsid w:val="00A746FE"/>
    <w:rsid w:val="00A75F9A"/>
    <w:rsid w:val="00A773C2"/>
    <w:rsid w:val="00A77D5A"/>
    <w:rsid w:val="00A802B7"/>
    <w:rsid w:val="00A80F85"/>
    <w:rsid w:val="00A813CD"/>
    <w:rsid w:val="00A81711"/>
    <w:rsid w:val="00A81BE8"/>
    <w:rsid w:val="00A82932"/>
    <w:rsid w:val="00A85146"/>
    <w:rsid w:val="00A8522B"/>
    <w:rsid w:val="00A865CB"/>
    <w:rsid w:val="00A868E9"/>
    <w:rsid w:val="00A86EFE"/>
    <w:rsid w:val="00A86F49"/>
    <w:rsid w:val="00A8719F"/>
    <w:rsid w:val="00A87333"/>
    <w:rsid w:val="00A87C1B"/>
    <w:rsid w:val="00A87C4D"/>
    <w:rsid w:val="00A90704"/>
    <w:rsid w:val="00A90820"/>
    <w:rsid w:val="00A91161"/>
    <w:rsid w:val="00A92519"/>
    <w:rsid w:val="00A9375D"/>
    <w:rsid w:val="00A93E41"/>
    <w:rsid w:val="00A94FE1"/>
    <w:rsid w:val="00A950C7"/>
    <w:rsid w:val="00A96BF9"/>
    <w:rsid w:val="00A96FE6"/>
    <w:rsid w:val="00A970CA"/>
    <w:rsid w:val="00A97889"/>
    <w:rsid w:val="00AA0086"/>
    <w:rsid w:val="00AA1150"/>
    <w:rsid w:val="00AA1CD7"/>
    <w:rsid w:val="00AA3170"/>
    <w:rsid w:val="00AA4821"/>
    <w:rsid w:val="00AA664B"/>
    <w:rsid w:val="00AA6947"/>
    <w:rsid w:val="00AA7B4C"/>
    <w:rsid w:val="00AB0251"/>
    <w:rsid w:val="00AB0A2D"/>
    <w:rsid w:val="00AB22B5"/>
    <w:rsid w:val="00AB28B9"/>
    <w:rsid w:val="00AB29B9"/>
    <w:rsid w:val="00AB37C8"/>
    <w:rsid w:val="00AB3FC3"/>
    <w:rsid w:val="00AB41B6"/>
    <w:rsid w:val="00AB4A5D"/>
    <w:rsid w:val="00AB4B27"/>
    <w:rsid w:val="00AB516C"/>
    <w:rsid w:val="00AB60B9"/>
    <w:rsid w:val="00AB7732"/>
    <w:rsid w:val="00AC11A0"/>
    <w:rsid w:val="00AC16DC"/>
    <w:rsid w:val="00AC1AFF"/>
    <w:rsid w:val="00AC1DEE"/>
    <w:rsid w:val="00AC2779"/>
    <w:rsid w:val="00AC2EAD"/>
    <w:rsid w:val="00AC2F21"/>
    <w:rsid w:val="00AC3883"/>
    <w:rsid w:val="00AC3932"/>
    <w:rsid w:val="00AC4C13"/>
    <w:rsid w:val="00AC53A4"/>
    <w:rsid w:val="00AC5611"/>
    <w:rsid w:val="00AC6414"/>
    <w:rsid w:val="00AC6610"/>
    <w:rsid w:val="00AC7945"/>
    <w:rsid w:val="00AD155F"/>
    <w:rsid w:val="00AD17E7"/>
    <w:rsid w:val="00AD27CA"/>
    <w:rsid w:val="00AD38AB"/>
    <w:rsid w:val="00AD41AB"/>
    <w:rsid w:val="00AD4774"/>
    <w:rsid w:val="00AE063B"/>
    <w:rsid w:val="00AE104B"/>
    <w:rsid w:val="00AE1A9F"/>
    <w:rsid w:val="00AE1F78"/>
    <w:rsid w:val="00AE35E0"/>
    <w:rsid w:val="00AE36C0"/>
    <w:rsid w:val="00AE557A"/>
    <w:rsid w:val="00AE5DC2"/>
    <w:rsid w:val="00AE6128"/>
    <w:rsid w:val="00AE6550"/>
    <w:rsid w:val="00AE6DAA"/>
    <w:rsid w:val="00AE72C4"/>
    <w:rsid w:val="00AE7A12"/>
    <w:rsid w:val="00AF021D"/>
    <w:rsid w:val="00AF11DE"/>
    <w:rsid w:val="00AF11EE"/>
    <w:rsid w:val="00AF158E"/>
    <w:rsid w:val="00AF1F07"/>
    <w:rsid w:val="00AF20A8"/>
    <w:rsid w:val="00AF2866"/>
    <w:rsid w:val="00AF383F"/>
    <w:rsid w:val="00AF41C7"/>
    <w:rsid w:val="00AF42CB"/>
    <w:rsid w:val="00AF49DF"/>
    <w:rsid w:val="00AF4F3F"/>
    <w:rsid w:val="00AF5503"/>
    <w:rsid w:val="00AF70F6"/>
    <w:rsid w:val="00B0125A"/>
    <w:rsid w:val="00B01C8B"/>
    <w:rsid w:val="00B01EA4"/>
    <w:rsid w:val="00B023AC"/>
    <w:rsid w:val="00B02CD8"/>
    <w:rsid w:val="00B05752"/>
    <w:rsid w:val="00B058EF"/>
    <w:rsid w:val="00B06D90"/>
    <w:rsid w:val="00B078F3"/>
    <w:rsid w:val="00B07AF1"/>
    <w:rsid w:val="00B10069"/>
    <w:rsid w:val="00B11E82"/>
    <w:rsid w:val="00B1212F"/>
    <w:rsid w:val="00B1280D"/>
    <w:rsid w:val="00B1325A"/>
    <w:rsid w:val="00B15616"/>
    <w:rsid w:val="00B158D5"/>
    <w:rsid w:val="00B15DCE"/>
    <w:rsid w:val="00B20BFC"/>
    <w:rsid w:val="00B2115F"/>
    <w:rsid w:val="00B21493"/>
    <w:rsid w:val="00B2214A"/>
    <w:rsid w:val="00B23308"/>
    <w:rsid w:val="00B2431D"/>
    <w:rsid w:val="00B261B0"/>
    <w:rsid w:val="00B27B6D"/>
    <w:rsid w:val="00B27D77"/>
    <w:rsid w:val="00B27DA2"/>
    <w:rsid w:val="00B30AB4"/>
    <w:rsid w:val="00B31C9F"/>
    <w:rsid w:val="00B32604"/>
    <w:rsid w:val="00B336F6"/>
    <w:rsid w:val="00B33EA5"/>
    <w:rsid w:val="00B340B2"/>
    <w:rsid w:val="00B345B1"/>
    <w:rsid w:val="00B3760B"/>
    <w:rsid w:val="00B378BC"/>
    <w:rsid w:val="00B40493"/>
    <w:rsid w:val="00B404F5"/>
    <w:rsid w:val="00B40C53"/>
    <w:rsid w:val="00B40C79"/>
    <w:rsid w:val="00B410E7"/>
    <w:rsid w:val="00B41C51"/>
    <w:rsid w:val="00B41F17"/>
    <w:rsid w:val="00B436BE"/>
    <w:rsid w:val="00B44C38"/>
    <w:rsid w:val="00B45862"/>
    <w:rsid w:val="00B46277"/>
    <w:rsid w:val="00B46313"/>
    <w:rsid w:val="00B4642A"/>
    <w:rsid w:val="00B469CE"/>
    <w:rsid w:val="00B501A3"/>
    <w:rsid w:val="00B506B5"/>
    <w:rsid w:val="00B507F9"/>
    <w:rsid w:val="00B50959"/>
    <w:rsid w:val="00B509E3"/>
    <w:rsid w:val="00B5196E"/>
    <w:rsid w:val="00B53585"/>
    <w:rsid w:val="00B53ADC"/>
    <w:rsid w:val="00B53AF8"/>
    <w:rsid w:val="00B57A86"/>
    <w:rsid w:val="00B612D3"/>
    <w:rsid w:val="00B62096"/>
    <w:rsid w:val="00B622B0"/>
    <w:rsid w:val="00B62882"/>
    <w:rsid w:val="00B64229"/>
    <w:rsid w:val="00B65A3C"/>
    <w:rsid w:val="00B6692B"/>
    <w:rsid w:val="00B720A1"/>
    <w:rsid w:val="00B741AE"/>
    <w:rsid w:val="00B74922"/>
    <w:rsid w:val="00B74E63"/>
    <w:rsid w:val="00B750ED"/>
    <w:rsid w:val="00B7564B"/>
    <w:rsid w:val="00B75862"/>
    <w:rsid w:val="00B75CC4"/>
    <w:rsid w:val="00B77F57"/>
    <w:rsid w:val="00B80592"/>
    <w:rsid w:val="00B81072"/>
    <w:rsid w:val="00B8264E"/>
    <w:rsid w:val="00B83862"/>
    <w:rsid w:val="00B84D83"/>
    <w:rsid w:val="00B8596F"/>
    <w:rsid w:val="00B86847"/>
    <w:rsid w:val="00B915C4"/>
    <w:rsid w:val="00B91C15"/>
    <w:rsid w:val="00B929E5"/>
    <w:rsid w:val="00B94043"/>
    <w:rsid w:val="00B95993"/>
    <w:rsid w:val="00B966AB"/>
    <w:rsid w:val="00BA1654"/>
    <w:rsid w:val="00BA1C98"/>
    <w:rsid w:val="00BA25C3"/>
    <w:rsid w:val="00BA2F63"/>
    <w:rsid w:val="00BA5C22"/>
    <w:rsid w:val="00BA7063"/>
    <w:rsid w:val="00BA7B75"/>
    <w:rsid w:val="00BA7E71"/>
    <w:rsid w:val="00BB0713"/>
    <w:rsid w:val="00BB1147"/>
    <w:rsid w:val="00BB28D9"/>
    <w:rsid w:val="00BB3061"/>
    <w:rsid w:val="00BB4A25"/>
    <w:rsid w:val="00BB4D99"/>
    <w:rsid w:val="00BB5F21"/>
    <w:rsid w:val="00BB6354"/>
    <w:rsid w:val="00BB75F2"/>
    <w:rsid w:val="00BB7EFC"/>
    <w:rsid w:val="00BC032F"/>
    <w:rsid w:val="00BC0AE2"/>
    <w:rsid w:val="00BC1893"/>
    <w:rsid w:val="00BC21E8"/>
    <w:rsid w:val="00BC34CD"/>
    <w:rsid w:val="00BC5EE7"/>
    <w:rsid w:val="00BC676C"/>
    <w:rsid w:val="00BC69BF"/>
    <w:rsid w:val="00BC7740"/>
    <w:rsid w:val="00BC7AE8"/>
    <w:rsid w:val="00BC7D90"/>
    <w:rsid w:val="00BD1E23"/>
    <w:rsid w:val="00BD2403"/>
    <w:rsid w:val="00BD4431"/>
    <w:rsid w:val="00BD4498"/>
    <w:rsid w:val="00BD4CFF"/>
    <w:rsid w:val="00BD5136"/>
    <w:rsid w:val="00BD526A"/>
    <w:rsid w:val="00BD5278"/>
    <w:rsid w:val="00BD57AE"/>
    <w:rsid w:val="00BD5D90"/>
    <w:rsid w:val="00BD5E38"/>
    <w:rsid w:val="00BD6634"/>
    <w:rsid w:val="00BD79B0"/>
    <w:rsid w:val="00BE129B"/>
    <w:rsid w:val="00BE2CF5"/>
    <w:rsid w:val="00BE3E9D"/>
    <w:rsid w:val="00BE5665"/>
    <w:rsid w:val="00BE5A76"/>
    <w:rsid w:val="00BE6BD2"/>
    <w:rsid w:val="00BE782B"/>
    <w:rsid w:val="00BE7B57"/>
    <w:rsid w:val="00BF03AE"/>
    <w:rsid w:val="00BF0A00"/>
    <w:rsid w:val="00BF1E04"/>
    <w:rsid w:val="00BF29F2"/>
    <w:rsid w:val="00BF34C8"/>
    <w:rsid w:val="00BF3B9A"/>
    <w:rsid w:val="00BF40B6"/>
    <w:rsid w:val="00BF4798"/>
    <w:rsid w:val="00BF4913"/>
    <w:rsid w:val="00BF4F10"/>
    <w:rsid w:val="00BF5354"/>
    <w:rsid w:val="00BF562C"/>
    <w:rsid w:val="00BF62C1"/>
    <w:rsid w:val="00BF645B"/>
    <w:rsid w:val="00BF65D7"/>
    <w:rsid w:val="00BF69B9"/>
    <w:rsid w:val="00BF6BE8"/>
    <w:rsid w:val="00BF6D74"/>
    <w:rsid w:val="00BF78C7"/>
    <w:rsid w:val="00BF7AFD"/>
    <w:rsid w:val="00C000D7"/>
    <w:rsid w:val="00C003E3"/>
    <w:rsid w:val="00C00413"/>
    <w:rsid w:val="00C00B51"/>
    <w:rsid w:val="00C01377"/>
    <w:rsid w:val="00C03839"/>
    <w:rsid w:val="00C03D61"/>
    <w:rsid w:val="00C042FD"/>
    <w:rsid w:val="00C0477C"/>
    <w:rsid w:val="00C073A5"/>
    <w:rsid w:val="00C11A00"/>
    <w:rsid w:val="00C12B0D"/>
    <w:rsid w:val="00C1356F"/>
    <w:rsid w:val="00C136CA"/>
    <w:rsid w:val="00C13C2D"/>
    <w:rsid w:val="00C15BCF"/>
    <w:rsid w:val="00C15E2F"/>
    <w:rsid w:val="00C15E41"/>
    <w:rsid w:val="00C16122"/>
    <w:rsid w:val="00C17A53"/>
    <w:rsid w:val="00C20DFD"/>
    <w:rsid w:val="00C21254"/>
    <w:rsid w:val="00C220C1"/>
    <w:rsid w:val="00C2229A"/>
    <w:rsid w:val="00C223D8"/>
    <w:rsid w:val="00C22618"/>
    <w:rsid w:val="00C24273"/>
    <w:rsid w:val="00C24977"/>
    <w:rsid w:val="00C250F3"/>
    <w:rsid w:val="00C256B4"/>
    <w:rsid w:val="00C26670"/>
    <w:rsid w:val="00C269B7"/>
    <w:rsid w:val="00C27988"/>
    <w:rsid w:val="00C3061C"/>
    <w:rsid w:val="00C31B44"/>
    <w:rsid w:val="00C336AF"/>
    <w:rsid w:val="00C33B37"/>
    <w:rsid w:val="00C35BE9"/>
    <w:rsid w:val="00C35F97"/>
    <w:rsid w:val="00C363C1"/>
    <w:rsid w:val="00C36562"/>
    <w:rsid w:val="00C366DF"/>
    <w:rsid w:val="00C366FE"/>
    <w:rsid w:val="00C36E61"/>
    <w:rsid w:val="00C4146F"/>
    <w:rsid w:val="00C41B67"/>
    <w:rsid w:val="00C4392B"/>
    <w:rsid w:val="00C4397F"/>
    <w:rsid w:val="00C440C9"/>
    <w:rsid w:val="00C462B2"/>
    <w:rsid w:val="00C463B7"/>
    <w:rsid w:val="00C47783"/>
    <w:rsid w:val="00C47841"/>
    <w:rsid w:val="00C50691"/>
    <w:rsid w:val="00C53D20"/>
    <w:rsid w:val="00C559EB"/>
    <w:rsid w:val="00C5652C"/>
    <w:rsid w:val="00C57DCE"/>
    <w:rsid w:val="00C606F0"/>
    <w:rsid w:val="00C61C31"/>
    <w:rsid w:val="00C627EE"/>
    <w:rsid w:val="00C63546"/>
    <w:rsid w:val="00C6398E"/>
    <w:rsid w:val="00C647DB"/>
    <w:rsid w:val="00C657CB"/>
    <w:rsid w:val="00C66F15"/>
    <w:rsid w:val="00C67589"/>
    <w:rsid w:val="00C725A3"/>
    <w:rsid w:val="00C72A15"/>
    <w:rsid w:val="00C73378"/>
    <w:rsid w:val="00C734DD"/>
    <w:rsid w:val="00C73619"/>
    <w:rsid w:val="00C74606"/>
    <w:rsid w:val="00C74968"/>
    <w:rsid w:val="00C76987"/>
    <w:rsid w:val="00C76CB6"/>
    <w:rsid w:val="00C776D0"/>
    <w:rsid w:val="00C776DF"/>
    <w:rsid w:val="00C80490"/>
    <w:rsid w:val="00C80717"/>
    <w:rsid w:val="00C81154"/>
    <w:rsid w:val="00C819C3"/>
    <w:rsid w:val="00C81B02"/>
    <w:rsid w:val="00C82800"/>
    <w:rsid w:val="00C83A3D"/>
    <w:rsid w:val="00C83F19"/>
    <w:rsid w:val="00C8528D"/>
    <w:rsid w:val="00C85651"/>
    <w:rsid w:val="00C85F49"/>
    <w:rsid w:val="00C86734"/>
    <w:rsid w:val="00C90BFC"/>
    <w:rsid w:val="00C92B92"/>
    <w:rsid w:val="00C92DE5"/>
    <w:rsid w:val="00C92FD1"/>
    <w:rsid w:val="00C93983"/>
    <w:rsid w:val="00C93D5E"/>
    <w:rsid w:val="00C94AEF"/>
    <w:rsid w:val="00C95522"/>
    <w:rsid w:val="00C9556B"/>
    <w:rsid w:val="00C95DD9"/>
    <w:rsid w:val="00C96CBA"/>
    <w:rsid w:val="00C96D24"/>
    <w:rsid w:val="00C96FA0"/>
    <w:rsid w:val="00C97857"/>
    <w:rsid w:val="00C97AED"/>
    <w:rsid w:val="00CA0DE8"/>
    <w:rsid w:val="00CA1AAC"/>
    <w:rsid w:val="00CA1C18"/>
    <w:rsid w:val="00CA2741"/>
    <w:rsid w:val="00CA286D"/>
    <w:rsid w:val="00CA2BB1"/>
    <w:rsid w:val="00CA3821"/>
    <w:rsid w:val="00CA38DC"/>
    <w:rsid w:val="00CA41C7"/>
    <w:rsid w:val="00CA4C16"/>
    <w:rsid w:val="00CA66F5"/>
    <w:rsid w:val="00CA6900"/>
    <w:rsid w:val="00CA6E29"/>
    <w:rsid w:val="00CA7D1F"/>
    <w:rsid w:val="00CB0110"/>
    <w:rsid w:val="00CB12F5"/>
    <w:rsid w:val="00CB5FE4"/>
    <w:rsid w:val="00CB6825"/>
    <w:rsid w:val="00CB6EB4"/>
    <w:rsid w:val="00CB7FFD"/>
    <w:rsid w:val="00CC1069"/>
    <w:rsid w:val="00CC130F"/>
    <w:rsid w:val="00CC1551"/>
    <w:rsid w:val="00CC2623"/>
    <w:rsid w:val="00CC2F9F"/>
    <w:rsid w:val="00CC35C0"/>
    <w:rsid w:val="00CC3BB6"/>
    <w:rsid w:val="00CC3CA2"/>
    <w:rsid w:val="00CC4275"/>
    <w:rsid w:val="00CC4AE1"/>
    <w:rsid w:val="00CC67D4"/>
    <w:rsid w:val="00CC6C40"/>
    <w:rsid w:val="00CC7541"/>
    <w:rsid w:val="00CC78AF"/>
    <w:rsid w:val="00CD031C"/>
    <w:rsid w:val="00CD08F9"/>
    <w:rsid w:val="00CD1F31"/>
    <w:rsid w:val="00CD2854"/>
    <w:rsid w:val="00CD348C"/>
    <w:rsid w:val="00CD50B7"/>
    <w:rsid w:val="00CD5376"/>
    <w:rsid w:val="00CD5A10"/>
    <w:rsid w:val="00CD6B55"/>
    <w:rsid w:val="00CD6EAC"/>
    <w:rsid w:val="00CE529B"/>
    <w:rsid w:val="00CE70D0"/>
    <w:rsid w:val="00CE7FEA"/>
    <w:rsid w:val="00CF0F8A"/>
    <w:rsid w:val="00CF1C9F"/>
    <w:rsid w:val="00CF35DD"/>
    <w:rsid w:val="00CF49AC"/>
    <w:rsid w:val="00CF4AC2"/>
    <w:rsid w:val="00CF5F20"/>
    <w:rsid w:val="00CF66A6"/>
    <w:rsid w:val="00CF747D"/>
    <w:rsid w:val="00D003BA"/>
    <w:rsid w:val="00D00E09"/>
    <w:rsid w:val="00D00EC9"/>
    <w:rsid w:val="00D015A0"/>
    <w:rsid w:val="00D0190B"/>
    <w:rsid w:val="00D03BD4"/>
    <w:rsid w:val="00D03C69"/>
    <w:rsid w:val="00D058D1"/>
    <w:rsid w:val="00D05DA0"/>
    <w:rsid w:val="00D066B0"/>
    <w:rsid w:val="00D06A26"/>
    <w:rsid w:val="00D07713"/>
    <w:rsid w:val="00D07996"/>
    <w:rsid w:val="00D12AD7"/>
    <w:rsid w:val="00D13AC7"/>
    <w:rsid w:val="00D148FB"/>
    <w:rsid w:val="00D14D94"/>
    <w:rsid w:val="00D15169"/>
    <w:rsid w:val="00D15A57"/>
    <w:rsid w:val="00D15B32"/>
    <w:rsid w:val="00D17435"/>
    <w:rsid w:val="00D17E7E"/>
    <w:rsid w:val="00D20768"/>
    <w:rsid w:val="00D210E7"/>
    <w:rsid w:val="00D23045"/>
    <w:rsid w:val="00D240FB"/>
    <w:rsid w:val="00D260AA"/>
    <w:rsid w:val="00D26529"/>
    <w:rsid w:val="00D2691E"/>
    <w:rsid w:val="00D27487"/>
    <w:rsid w:val="00D27521"/>
    <w:rsid w:val="00D310EE"/>
    <w:rsid w:val="00D313D9"/>
    <w:rsid w:val="00D31CD4"/>
    <w:rsid w:val="00D327F2"/>
    <w:rsid w:val="00D32A94"/>
    <w:rsid w:val="00D33533"/>
    <w:rsid w:val="00D338A7"/>
    <w:rsid w:val="00D33CE4"/>
    <w:rsid w:val="00D353FA"/>
    <w:rsid w:val="00D35B53"/>
    <w:rsid w:val="00D36AF0"/>
    <w:rsid w:val="00D36F5D"/>
    <w:rsid w:val="00D37102"/>
    <w:rsid w:val="00D37611"/>
    <w:rsid w:val="00D37EE8"/>
    <w:rsid w:val="00D41B84"/>
    <w:rsid w:val="00D42057"/>
    <w:rsid w:val="00D42490"/>
    <w:rsid w:val="00D42A68"/>
    <w:rsid w:val="00D43B13"/>
    <w:rsid w:val="00D4612B"/>
    <w:rsid w:val="00D46A22"/>
    <w:rsid w:val="00D4745C"/>
    <w:rsid w:val="00D477BF"/>
    <w:rsid w:val="00D47961"/>
    <w:rsid w:val="00D53250"/>
    <w:rsid w:val="00D55C28"/>
    <w:rsid w:val="00D5646E"/>
    <w:rsid w:val="00D56DDD"/>
    <w:rsid w:val="00D56EAB"/>
    <w:rsid w:val="00D57933"/>
    <w:rsid w:val="00D57A33"/>
    <w:rsid w:val="00D57B0D"/>
    <w:rsid w:val="00D610AF"/>
    <w:rsid w:val="00D618AF"/>
    <w:rsid w:val="00D62A32"/>
    <w:rsid w:val="00D63123"/>
    <w:rsid w:val="00D63C8C"/>
    <w:rsid w:val="00D63ED7"/>
    <w:rsid w:val="00D6408A"/>
    <w:rsid w:val="00D647A1"/>
    <w:rsid w:val="00D64E78"/>
    <w:rsid w:val="00D652E7"/>
    <w:rsid w:val="00D65A9D"/>
    <w:rsid w:val="00D663AE"/>
    <w:rsid w:val="00D668A0"/>
    <w:rsid w:val="00D66B28"/>
    <w:rsid w:val="00D66D32"/>
    <w:rsid w:val="00D676EC"/>
    <w:rsid w:val="00D7039C"/>
    <w:rsid w:val="00D70F5D"/>
    <w:rsid w:val="00D736DB"/>
    <w:rsid w:val="00D737C1"/>
    <w:rsid w:val="00D74684"/>
    <w:rsid w:val="00D748D8"/>
    <w:rsid w:val="00D76975"/>
    <w:rsid w:val="00D777C2"/>
    <w:rsid w:val="00D8013A"/>
    <w:rsid w:val="00D81349"/>
    <w:rsid w:val="00D829B2"/>
    <w:rsid w:val="00D85051"/>
    <w:rsid w:val="00D858CE"/>
    <w:rsid w:val="00D85B25"/>
    <w:rsid w:val="00D85E5F"/>
    <w:rsid w:val="00D86C09"/>
    <w:rsid w:val="00D86D88"/>
    <w:rsid w:val="00D875A6"/>
    <w:rsid w:val="00D87758"/>
    <w:rsid w:val="00D9011F"/>
    <w:rsid w:val="00D907F9"/>
    <w:rsid w:val="00D90E4E"/>
    <w:rsid w:val="00D91160"/>
    <w:rsid w:val="00D91DB6"/>
    <w:rsid w:val="00D92362"/>
    <w:rsid w:val="00D92B3C"/>
    <w:rsid w:val="00D9318B"/>
    <w:rsid w:val="00D934CF"/>
    <w:rsid w:val="00D94433"/>
    <w:rsid w:val="00D95867"/>
    <w:rsid w:val="00D9645C"/>
    <w:rsid w:val="00D966C0"/>
    <w:rsid w:val="00DA0828"/>
    <w:rsid w:val="00DA14B0"/>
    <w:rsid w:val="00DA2A42"/>
    <w:rsid w:val="00DA3369"/>
    <w:rsid w:val="00DA4A80"/>
    <w:rsid w:val="00DA50ED"/>
    <w:rsid w:val="00DA52B5"/>
    <w:rsid w:val="00DA559E"/>
    <w:rsid w:val="00DA55F5"/>
    <w:rsid w:val="00DA56DC"/>
    <w:rsid w:val="00DA6416"/>
    <w:rsid w:val="00DA6449"/>
    <w:rsid w:val="00DA7E41"/>
    <w:rsid w:val="00DA7FBD"/>
    <w:rsid w:val="00DB0ED8"/>
    <w:rsid w:val="00DB191A"/>
    <w:rsid w:val="00DB215B"/>
    <w:rsid w:val="00DB235C"/>
    <w:rsid w:val="00DB28FD"/>
    <w:rsid w:val="00DB4995"/>
    <w:rsid w:val="00DB5813"/>
    <w:rsid w:val="00DB6494"/>
    <w:rsid w:val="00DB6CFA"/>
    <w:rsid w:val="00DC0F72"/>
    <w:rsid w:val="00DC10BD"/>
    <w:rsid w:val="00DC13D8"/>
    <w:rsid w:val="00DC1F1E"/>
    <w:rsid w:val="00DC351D"/>
    <w:rsid w:val="00DC3579"/>
    <w:rsid w:val="00DC57D3"/>
    <w:rsid w:val="00DC6AFC"/>
    <w:rsid w:val="00DC726A"/>
    <w:rsid w:val="00DD21BF"/>
    <w:rsid w:val="00DD341F"/>
    <w:rsid w:val="00DD3BE8"/>
    <w:rsid w:val="00DD42F6"/>
    <w:rsid w:val="00DD4E04"/>
    <w:rsid w:val="00DD55B1"/>
    <w:rsid w:val="00DD567D"/>
    <w:rsid w:val="00DD5B43"/>
    <w:rsid w:val="00DD5B48"/>
    <w:rsid w:val="00DD5E5D"/>
    <w:rsid w:val="00DD66AC"/>
    <w:rsid w:val="00DD6882"/>
    <w:rsid w:val="00DD79DB"/>
    <w:rsid w:val="00DE072D"/>
    <w:rsid w:val="00DE0966"/>
    <w:rsid w:val="00DE0E6E"/>
    <w:rsid w:val="00DE1559"/>
    <w:rsid w:val="00DE1800"/>
    <w:rsid w:val="00DE1A3A"/>
    <w:rsid w:val="00DE1AB8"/>
    <w:rsid w:val="00DE2F16"/>
    <w:rsid w:val="00DE3396"/>
    <w:rsid w:val="00DE3810"/>
    <w:rsid w:val="00DE4137"/>
    <w:rsid w:val="00DE62C2"/>
    <w:rsid w:val="00DE6365"/>
    <w:rsid w:val="00DE7208"/>
    <w:rsid w:val="00DE78FD"/>
    <w:rsid w:val="00DF25AC"/>
    <w:rsid w:val="00DF26EB"/>
    <w:rsid w:val="00DF3FFE"/>
    <w:rsid w:val="00DF446D"/>
    <w:rsid w:val="00DF49E4"/>
    <w:rsid w:val="00DF5E2E"/>
    <w:rsid w:val="00DF6402"/>
    <w:rsid w:val="00DF6F8B"/>
    <w:rsid w:val="00E008A3"/>
    <w:rsid w:val="00E00C4B"/>
    <w:rsid w:val="00E017AF"/>
    <w:rsid w:val="00E029EC"/>
    <w:rsid w:val="00E031C8"/>
    <w:rsid w:val="00E034E7"/>
    <w:rsid w:val="00E03C9F"/>
    <w:rsid w:val="00E04789"/>
    <w:rsid w:val="00E04E09"/>
    <w:rsid w:val="00E04F14"/>
    <w:rsid w:val="00E054AB"/>
    <w:rsid w:val="00E0683F"/>
    <w:rsid w:val="00E07853"/>
    <w:rsid w:val="00E07E6F"/>
    <w:rsid w:val="00E10087"/>
    <w:rsid w:val="00E11435"/>
    <w:rsid w:val="00E124E8"/>
    <w:rsid w:val="00E13026"/>
    <w:rsid w:val="00E132B1"/>
    <w:rsid w:val="00E14846"/>
    <w:rsid w:val="00E14BC9"/>
    <w:rsid w:val="00E14DF6"/>
    <w:rsid w:val="00E159FD"/>
    <w:rsid w:val="00E15CD7"/>
    <w:rsid w:val="00E1707F"/>
    <w:rsid w:val="00E176B0"/>
    <w:rsid w:val="00E17C32"/>
    <w:rsid w:val="00E17E0E"/>
    <w:rsid w:val="00E20324"/>
    <w:rsid w:val="00E20AE3"/>
    <w:rsid w:val="00E20CFB"/>
    <w:rsid w:val="00E21913"/>
    <w:rsid w:val="00E22D4F"/>
    <w:rsid w:val="00E230EB"/>
    <w:rsid w:val="00E233DE"/>
    <w:rsid w:val="00E23982"/>
    <w:rsid w:val="00E242CC"/>
    <w:rsid w:val="00E249A0"/>
    <w:rsid w:val="00E24AAE"/>
    <w:rsid w:val="00E255B3"/>
    <w:rsid w:val="00E257ED"/>
    <w:rsid w:val="00E25EBD"/>
    <w:rsid w:val="00E26A33"/>
    <w:rsid w:val="00E2786E"/>
    <w:rsid w:val="00E27BBF"/>
    <w:rsid w:val="00E30882"/>
    <w:rsid w:val="00E30942"/>
    <w:rsid w:val="00E30B31"/>
    <w:rsid w:val="00E31724"/>
    <w:rsid w:val="00E31CA2"/>
    <w:rsid w:val="00E32A45"/>
    <w:rsid w:val="00E33C94"/>
    <w:rsid w:val="00E34557"/>
    <w:rsid w:val="00E34566"/>
    <w:rsid w:val="00E349F1"/>
    <w:rsid w:val="00E3627A"/>
    <w:rsid w:val="00E365DB"/>
    <w:rsid w:val="00E3778A"/>
    <w:rsid w:val="00E3781F"/>
    <w:rsid w:val="00E4000C"/>
    <w:rsid w:val="00E402AF"/>
    <w:rsid w:val="00E406AC"/>
    <w:rsid w:val="00E40D5C"/>
    <w:rsid w:val="00E412A0"/>
    <w:rsid w:val="00E41FE0"/>
    <w:rsid w:val="00E42688"/>
    <w:rsid w:val="00E42A29"/>
    <w:rsid w:val="00E4388B"/>
    <w:rsid w:val="00E439F0"/>
    <w:rsid w:val="00E43E82"/>
    <w:rsid w:val="00E44CE2"/>
    <w:rsid w:val="00E44E4C"/>
    <w:rsid w:val="00E4509E"/>
    <w:rsid w:val="00E46180"/>
    <w:rsid w:val="00E4738B"/>
    <w:rsid w:val="00E47569"/>
    <w:rsid w:val="00E476BF"/>
    <w:rsid w:val="00E50053"/>
    <w:rsid w:val="00E503A4"/>
    <w:rsid w:val="00E50662"/>
    <w:rsid w:val="00E50B39"/>
    <w:rsid w:val="00E50E98"/>
    <w:rsid w:val="00E5171E"/>
    <w:rsid w:val="00E5213A"/>
    <w:rsid w:val="00E52ED4"/>
    <w:rsid w:val="00E53319"/>
    <w:rsid w:val="00E53753"/>
    <w:rsid w:val="00E54257"/>
    <w:rsid w:val="00E548D2"/>
    <w:rsid w:val="00E551D3"/>
    <w:rsid w:val="00E560C9"/>
    <w:rsid w:val="00E56749"/>
    <w:rsid w:val="00E5693C"/>
    <w:rsid w:val="00E56C3A"/>
    <w:rsid w:val="00E573F0"/>
    <w:rsid w:val="00E57B7A"/>
    <w:rsid w:val="00E57B8C"/>
    <w:rsid w:val="00E6154E"/>
    <w:rsid w:val="00E621D8"/>
    <w:rsid w:val="00E63D97"/>
    <w:rsid w:val="00E6447D"/>
    <w:rsid w:val="00E64741"/>
    <w:rsid w:val="00E65967"/>
    <w:rsid w:val="00E671E4"/>
    <w:rsid w:val="00E679A5"/>
    <w:rsid w:val="00E67FF8"/>
    <w:rsid w:val="00E71059"/>
    <w:rsid w:val="00E713B5"/>
    <w:rsid w:val="00E71599"/>
    <w:rsid w:val="00E71B5E"/>
    <w:rsid w:val="00E72387"/>
    <w:rsid w:val="00E72454"/>
    <w:rsid w:val="00E7254E"/>
    <w:rsid w:val="00E73CFD"/>
    <w:rsid w:val="00E74668"/>
    <w:rsid w:val="00E75127"/>
    <w:rsid w:val="00E76023"/>
    <w:rsid w:val="00E760C0"/>
    <w:rsid w:val="00E763BF"/>
    <w:rsid w:val="00E800EC"/>
    <w:rsid w:val="00E802F1"/>
    <w:rsid w:val="00E813F4"/>
    <w:rsid w:val="00E816EE"/>
    <w:rsid w:val="00E822AF"/>
    <w:rsid w:val="00E82626"/>
    <w:rsid w:val="00E85330"/>
    <w:rsid w:val="00E85C91"/>
    <w:rsid w:val="00E8770C"/>
    <w:rsid w:val="00E87E2E"/>
    <w:rsid w:val="00E9017F"/>
    <w:rsid w:val="00E9255D"/>
    <w:rsid w:val="00E92AF8"/>
    <w:rsid w:val="00E93749"/>
    <w:rsid w:val="00E953CC"/>
    <w:rsid w:val="00E964F1"/>
    <w:rsid w:val="00E97108"/>
    <w:rsid w:val="00E9766E"/>
    <w:rsid w:val="00EA06E0"/>
    <w:rsid w:val="00EA16C0"/>
    <w:rsid w:val="00EA43CA"/>
    <w:rsid w:val="00EA45EB"/>
    <w:rsid w:val="00EA4839"/>
    <w:rsid w:val="00EA4A90"/>
    <w:rsid w:val="00EA6292"/>
    <w:rsid w:val="00EA658A"/>
    <w:rsid w:val="00EA67F3"/>
    <w:rsid w:val="00EA7D57"/>
    <w:rsid w:val="00EB067E"/>
    <w:rsid w:val="00EB09C2"/>
    <w:rsid w:val="00EB121C"/>
    <w:rsid w:val="00EB2D07"/>
    <w:rsid w:val="00EB33FC"/>
    <w:rsid w:val="00EB5065"/>
    <w:rsid w:val="00EB5137"/>
    <w:rsid w:val="00EB535D"/>
    <w:rsid w:val="00EB6840"/>
    <w:rsid w:val="00EB76A0"/>
    <w:rsid w:val="00EB7936"/>
    <w:rsid w:val="00EC0952"/>
    <w:rsid w:val="00EC1D63"/>
    <w:rsid w:val="00EC25FE"/>
    <w:rsid w:val="00EC29BA"/>
    <w:rsid w:val="00EC3DB3"/>
    <w:rsid w:val="00EC437F"/>
    <w:rsid w:val="00EC4E84"/>
    <w:rsid w:val="00EC5691"/>
    <w:rsid w:val="00EC65BD"/>
    <w:rsid w:val="00EC69F1"/>
    <w:rsid w:val="00EC6A8A"/>
    <w:rsid w:val="00EC72E2"/>
    <w:rsid w:val="00EC7C52"/>
    <w:rsid w:val="00ED053B"/>
    <w:rsid w:val="00ED08F8"/>
    <w:rsid w:val="00ED3783"/>
    <w:rsid w:val="00ED4676"/>
    <w:rsid w:val="00ED48B1"/>
    <w:rsid w:val="00ED4F48"/>
    <w:rsid w:val="00ED54D4"/>
    <w:rsid w:val="00ED58EC"/>
    <w:rsid w:val="00ED59F6"/>
    <w:rsid w:val="00ED5CCD"/>
    <w:rsid w:val="00EE0D18"/>
    <w:rsid w:val="00EE1480"/>
    <w:rsid w:val="00EE1AD2"/>
    <w:rsid w:val="00EE1DFA"/>
    <w:rsid w:val="00EE2697"/>
    <w:rsid w:val="00EE3B86"/>
    <w:rsid w:val="00EE3D7F"/>
    <w:rsid w:val="00EE44C7"/>
    <w:rsid w:val="00EE4A14"/>
    <w:rsid w:val="00EE4E1A"/>
    <w:rsid w:val="00EE4F09"/>
    <w:rsid w:val="00EE6B3B"/>
    <w:rsid w:val="00EE6FA0"/>
    <w:rsid w:val="00EF2101"/>
    <w:rsid w:val="00EF251E"/>
    <w:rsid w:val="00EF2CD4"/>
    <w:rsid w:val="00EF2F4B"/>
    <w:rsid w:val="00EF316E"/>
    <w:rsid w:val="00EF3811"/>
    <w:rsid w:val="00EF4F0C"/>
    <w:rsid w:val="00EF5EF2"/>
    <w:rsid w:val="00EF7427"/>
    <w:rsid w:val="00F00DD7"/>
    <w:rsid w:val="00F01345"/>
    <w:rsid w:val="00F0227A"/>
    <w:rsid w:val="00F025EF"/>
    <w:rsid w:val="00F03523"/>
    <w:rsid w:val="00F04441"/>
    <w:rsid w:val="00F04446"/>
    <w:rsid w:val="00F06462"/>
    <w:rsid w:val="00F10165"/>
    <w:rsid w:val="00F10FA0"/>
    <w:rsid w:val="00F10FD7"/>
    <w:rsid w:val="00F1131F"/>
    <w:rsid w:val="00F11690"/>
    <w:rsid w:val="00F11F29"/>
    <w:rsid w:val="00F14171"/>
    <w:rsid w:val="00F1477D"/>
    <w:rsid w:val="00F14B77"/>
    <w:rsid w:val="00F16916"/>
    <w:rsid w:val="00F203FF"/>
    <w:rsid w:val="00F20403"/>
    <w:rsid w:val="00F20595"/>
    <w:rsid w:val="00F20C20"/>
    <w:rsid w:val="00F2172D"/>
    <w:rsid w:val="00F222FA"/>
    <w:rsid w:val="00F22D8F"/>
    <w:rsid w:val="00F22E49"/>
    <w:rsid w:val="00F2544A"/>
    <w:rsid w:val="00F30B52"/>
    <w:rsid w:val="00F30EFC"/>
    <w:rsid w:val="00F3285D"/>
    <w:rsid w:val="00F33AB2"/>
    <w:rsid w:val="00F340F9"/>
    <w:rsid w:val="00F34534"/>
    <w:rsid w:val="00F34C49"/>
    <w:rsid w:val="00F36B0D"/>
    <w:rsid w:val="00F37009"/>
    <w:rsid w:val="00F373C9"/>
    <w:rsid w:val="00F41D8D"/>
    <w:rsid w:val="00F42207"/>
    <w:rsid w:val="00F4282F"/>
    <w:rsid w:val="00F428B9"/>
    <w:rsid w:val="00F43172"/>
    <w:rsid w:val="00F43421"/>
    <w:rsid w:val="00F43B99"/>
    <w:rsid w:val="00F447D0"/>
    <w:rsid w:val="00F45842"/>
    <w:rsid w:val="00F469C6"/>
    <w:rsid w:val="00F469DC"/>
    <w:rsid w:val="00F4711F"/>
    <w:rsid w:val="00F47BA8"/>
    <w:rsid w:val="00F506D4"/>
    <w:rsid w:val="00F50845"/>
    <w:rsid w:val="00F51709"/>
    <w:rsid w:val="00F52479"/>
    <w:rsid w:val="00F52B82"/>
    <w:rsid w:val="00F546C5"/>
    <w:rsid w:val="00F54A21"/>
    <w:rsid w:val="00F553DD"/>
    <w:rsid w:val="00F55F39"/>
    <w:rsid w:val="00F56BC8"/>
    <w:rsid w:val="00F56D4F"/>
    <w:rsid w:val="00F57ADD"/>
    <w:rsid w:val="00F605B7"/>
    <w:rsid w:val="00F61274"/>
    <w:rsid w:val="00F61AB8"/>
    <w:rsid w:val="00F61B2E"/>
    <w:rsid w:val="00F623FC"/>
    <w:rsid w:val="00F62525"/>
    <w:rsid w:val="00F62EA5"/>
    <w:rsid w:val="00F63E25"/>
    <w:rsid w:val="00F6410E"/>
    <w:rsid w:val="00F64649"/>
    <w:rsid w:val="00F64848"/>
    <w:rsid w:val="00F65296"/>
    <w:rsid w:val="00F6582F"/>
    <w:rsid w:val="00F67FEC"/>
    <w:rsid w:val="00F700C7"/>
    <w:rsid w:val="00F70BB6"/>
    <w:rsid w:val="00F71089"/>
    <w:rsid w:val="00F714DA"/>
    <w:rsid w:val="00F71C71"/>
    <w:rsid w:val="00F7389A"/>
    <w:rsid w:val="00F7596C"/>
    <w:rsid w:val="00F75C88"/>
    <w:rsid w:val="00F764D1"/>
    <w:rsid w:val="00F77B9D"/>
    <w:rsid w:val="00F80939"/>
    <w:rsid w:val="00F819A0"/>
    <w:rsid w:val="00F81F81"/>
    <w:rsid w:val="00F82373"/>
    <w:rsid w:val="00F83D52"/>
    <w:rsid w:val="00F84486"/>
    <w:rsid w:val="00F84CCC"/>
    <w:rsid w:val="00F85147"/>
    <w:rsid w:val="00F868A8"/>
    <w:rsid w:val="00F86AE2"/>
    <w:rsid w:val="00F86BE4"/>
    <w:rsid w:val="00F9019A"/>
    <w:rsid w:val="00F90487"/>
    <w:rsid w:val="00F90C5C"/>
    <w:rsid w:val="00F91D96"/>
    <w:rsid w:val="00F92462"/>
    <w:rsid w:val="00F94816"/>
    <w:rsid w:val="00F94A00"/>
    <w:rsid w:val="00F95377"/>
    <w:rsid w:val="00F956E5"/>
    <w:rsid w:val="00F95E55"/>
    <w:rsid w:val="00F9710C"/>
    <w:rsid w:val="00F974C1"/>
    <w:rsid w:val="00F9751E"/>
    <w:rsid w:val="00FA272A"/>
    <w:rsid w:val="00FA4139"/>
    <w:rsid w:val="00FA4583"/>
    <w:rsid w:val="00FA65D9"/>
    <w:rsid w:val="00FA729A"/>
    <w:rsid w:val="00FA7647"/>
    <w:rsid w:val="00FB002A"/>
    <w:rsid w:val="00FB0A83"/>
    <w:rsid w:val="00FB13B2"/>
    <w:rsid w:val="00FB26CD"/>
    <w:rsid w:val="00FB272E"/>
    <w:rsid w:val="00FB323A"/>
    <w:rsid w:val="00FB60B3"/>
    <w:rsid w:val="00FB6E1A"/>
    <w:rsid w:val="00FB762F"/>
    <w:rsid w:val="00FB7A71"/>
    <w:rsid w:val="00FB7B65"/>
    <w:rsid w:val="00FC0375"/>
    <w:rsid w:val="00FC0928"/>
    <w:rsid w:val="00FC0B80"/>
    <w:rsid w:val="00FC1D29"/>
    <w:rsid w:val="00FC21C1"/>
    <w:rsid w:val="00FC26C7"/>
    <w:rsid w:val="00FC3519"/>
    <w:rsid w:val="00FC53C5"/>
    <w:rsid w:val="00FC63B0"/>
    <w:rsid w:val="00FC6D95"/>
    <w:rsid w:val="00FC6EBA"/>
    <w:rsid w:val="00FC7B16"/>
    <w:rsid w:val="00FD1B10"/>
    <w:rsid w:val="00FD2358"/>
    <w:rsid w:val="00FD4082"/>
    <w:rsid w:val="00FD456D"/>
    <w:rsid w:val="00FD51B3"/>
    <w:rsid w:val="00FD55BA"/>
    <w:rsid w:val="00FD5DF5"/>
    <w:rsid w:val="00FD5EA6"/>
    <w:rsid w:val="00FD6097"/>
    <w:rsid w:val="00FD6396"/>
    <w:rsid w:val="00FD7698"/>
    <w:rsid w:val="00FD7C91"/>
    <w:rsid w:val="00FE06E1"/>
    <w:rsid w:val="00FE0E59"/>
    <w:rsid w:val="00FE0EFB"/>
    <w:rsid w:val="00FE11BA"/>
    <w:rsid w:val="00FE1C78"/>
    <w:rsid w:val="00FE207A"/>
    <w:rsid w:val="00FE3370"/>
    <w:rsid w:val="00FE3486"/>
    <w:rsid w:val="00FE3C4B"/>
    <w:rsid w:val="00FE4CE8"/>
    <w:rsid w:val="00FE6971"/>
    <w:rsid w:val="00FE6D3A"/>
    <w:rsid w:val="00FF0681"/>
    <w:rsid w:val="00FF3223"/>
    <w:rsid w:val="00FF3DC8"/>
    <w:rsid w:val="00FF6237"/>
    <w:rsid w:val="02A663D3"/>
    <w:rsid w:val="0FB32422"/>
    <w:rsid w:val="3AA32046"/>
    <w:rsid w:val="44A8297D"/>
    <w:rsid w:val="59C95B75"/>
    <w:rsid w:val="5AB55722"/>
    <w:rsid w:val="7FC350AA"/>
    <w:rsid w:val="ACFF72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黑体"/>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0"/>
      <w:sz w:val="28"/>
      <w:szCs w:val="20"/>
      <w:lang w:val="en-US" w:eastAsia="zh-CN" w:bidi="ar-SA"/>
    </w:rPr>
  </w:style>
  <w:style w:type="paragraph" w:styleId="2">
    <w:name w:val="heading 1"/>
    <w:basedOn w:val="1"/>
    <w:next w:val="1"/>
    <w:link w:val="27"/>
    <w:qFormat/>
    <w:uiPriority w:val="99"/>
    <w:pPr>
      <w:keepNext/>
      <w:keepLines/>
      <w:widowControl/>
      <w:spacing w:before="100" w:beforeAutospacing="1" w:afterLines="50"/>
      <w:ind w:firstLine="0" w:firstLineChars="0"/>
      <w:jc w:val="center"/>
      <w:outlineLvl w:val="0"/>
    </w:pPr>
    <w:rPr>
      <w:b/>
      <w:kern w:val="44"/>
      <w:sz w:val="36"/>
      <w:szCs w:val="44"/>
    </w:rPr>
  </w:style>
  <w:style w:type="paragraph" w:styleId="3">
    <w:name w:val="heading 2"/>
    <w:basedOn w:val="1"/>
    <w:next w:val="1"/>
    <w:link w:val="28"/>
    <w:qFormat/>
    <w:uiPriority w:val="99"/>
    <w:pPr>
      <w:keepNext/>
      <w:keepLines/>
      <w:widowControl/>
      <w:spacing w:beforeLines="50" w:afterLines="50"/>
      <w:ind w:firstLine="0" w:firstLineChars="0"/>
      <w:outlineLvl w:val="1"/>
    </w:pPr>
    <w:rPr>
      <w:rFonts w:ascii="Calibri" w:hAnsi="Calibri"/>
      <w:b/>
      <w:sz w:val="32"/>
      <w:szCs w:val="32"/>
    </w:rPr>
  </w:style>
  <w:style w:type="paragraph" w:styleId="4">
    <w:name w:val="heading 3"/>
    <w:basedOn w:val="1"/>
    <w:next w:val="1"/>
    <w:link w:val="29"/>
    <w:qFormat/>
    <w:uiPriority w:val="99"/>
    <w:pPr>
      <w:keepNext/>
      <w:keepLines/>
      <w:spacing w:before="260" w:after="260" w:line="416" w:lineRule="auto"/>
      <w:outlineLvl w:val="2"/>
    </w:pPr>
    <w:rPr>
      <w:sz w:val="32"/>
      <w:szCs w:val="32"/>
    </w:rPr>
  </w:style>
  <w:style w:type="paragraph" w:styleId="5">
    <w:name w:val="heading 4"/>
    <w:basedOn w:val="1"/>
    <w:next w:val="1"/>
    <w:link w:val="30"/>
    <w:qFormat/>
    <w:uiPriority w:val="99"/>
    <w:pPr>
      <w:keepNext/>
      <w:keepLines/>
      <w:spacing w:before="280" w:after="290" w:line="376" w:lineRule="auto"/>
      <w:outlineLvl w:val="3"/>
    </w:pPr>
    <w:rPr>
      <w:rFonts w:ascii="Calibri" w:hAnsi="Calibri"/>
      <w:szCs w:val="28"/>
    </w:rPr>
  </w:style>
  <w:style w:type="paragraph" w:styleId="6">
    <w:name w:val="heading 5"/>
    <w:basedOn w:val="1"/>
    <w:next w:val="1"/>
    <w:link w:val="31"/>
    <w:qFormat/>
    <w:uiPriority w:val="99"/>
    <w:pPr>
      <w:keepNext/>
      <w:keepLines/>
      <w:spacing w:before="280" w:after="290" w:line="376" w:lineRule="auto"/>
      <w:outlineLvl w:val="4"/>
    </w:pPr>
    <w:rPr>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locked/>
    <w:uiPriority w:val="0"/>
    <w:pPr>
      <w:ind w:left="2520" w:leftChars="1200"/>
    </w:pPr>
  </w:style>
  <w:style w:type="paragraph" w:styleId="8">
    <w:name w:val="Document Map"/>
    <w:basedOn w:val="1"/>
    <w:link w:val="34"/>
    <w:semiHidden/>
    <w:qFormat/>
    <w:uiPriority w:val="99"/>
    <w:rPr>
      <w:rFonts w:ascii="Heiti SC Light" w:eastAsia="Times New Roman"/>
      <w:sz w:val="24"/>
      <w:szCs w:val="24"/>
    </w:rPr>
  </w:style>
  <w:style w:type="paragraph" w:styleId="9">
    <w:name w:val="toc 5"/>
    <w:basedOn w:val="1"/>
    <w:next w:val="1"/>
    <w:qFormat/>
    <w:locked/>
    <w:uiPriority w:val="0"/>
    <w:pPr>
      <w:ind w:left="1680" w:leftChars="800"/>
    </w:pPr>
  </w:style>
  <w:style w:type="paragraph" w:styleId="10">
    <w:name w:val="toc 3"/>
    <w:basedOn w:val="1"/>
    <w:next w:val="1"/>
    <w:qFormat/>
    <w:locked/>
    <w:uiPriority w:val="0"/>
    <w:pPr>
      <w:ind w:left="840" w:leftChars="400"/>
    </w:pPr>
  </w:style>
  <w:style w:type="paragraph" w:styleId="11">
    <w:name w:val="Plain Text"/>
    <w:basedOn w:val="1"/>
    <w:link w:val="50"/>
    <w:semiHidden/>
    <w:unhideWhenUsed/>
    <w:qFormat/>
    <w:uiPriority w:val="99"/>
    <w:rPr>
      <w:rFonts w:ascii="宋体" w:hAnsi="Courier"/>
      <w:sz w:val="24"/>
      <w:szCs w:val="24"/>
    </w:rPr>
  </w:style>
  <w:style w:type="paragraph" w:styleId="12">
    <w:name w:val="toc 8"/>
    <w:basedOn w:val="1"/>
    <w:next w:val="1"/>
    <w:qFormat/>
    <w:locked/>
    <w:uiPriority w:val="0"/>
    <w:pPr>
      <w:ind w:left="2940" w:leftChars="1400"/>
    </w:pPr>
  </w:style>
  <w:style w:type="paragraph" w:styleId="13">
    <w:name w:val="Balloon Text"/>
    <w:basedOn w:val="1"/>
    <w:link w:val="35"/>
    <w:semiHidden/>
    <w:qFormat/>
    <w:uiPriority w:val="99"/>
    <w:rPr>
      <w:rFonts w:ascii="Heiti SC Light" w:eastAsia="Times New Roman"/>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locked/>
    <w:uiPriority w:val="39"/>
  </w:style>
  <w:style w:type="paragraph" w:styleId="17">
    <w:name w:val="toc 4"/>
    <w:basedOn w:val="1"/>
    <w:next w:val="1"/>
    <w:qFormat/>
    <w:locked/>
    <w:uiPriority w:val="0"/>
    <w:pPr>
      <w:ind w:left="1260" w:leftChars="600"/>
    </w:pPr>
  </w:style>
  <w:style w:type="paragraph" w:styleId="18">
    <w:name w:val="toc 6"/>
    <w:basedOn w:val="1"/>
    <w:next w:val="1"/>
    <w:qFormat/>
    <w:locked/>
    <w:uiPriority w:val="0"/>
    <w:pPr>
      <w:ind w:left="2100" w:leftChars="1000"/>
    </w:pPr>
  </w:style>
  <w:style w:type="paragraph" w:styleId="19">
    <w:name w:val="toc 2"/>
    <w:basedOn w:val="1"/>
    <w:next w:val="1"/>
    <w:qFormat/>
    <w:locked/>
    <w:uiPriority w:val="39"/>
    <w:pPr>
      <w:ind w:left="420" w:leftChars="200"/>
    </w:pPr>
  </w:style>
  <w:style w:type="paragraph" w:styleId="20">
    <w:name w:val="toc 9"/>
    <w:basedOn w:val="1"/>
    <w:next w:val="1"/>
    <w:qFormat/>
    <w:locked/>
    <w:uiPriority w:val="0"/>
    <w:pPr>
      <w:ind w:left="3360" w:leftChars="1600"/>
    </w:pPr>
  </w:style>
  <w:style w:type="paragraph" w:styleId="21">
    <w:name w:val="Normal (Web)"/>
    <w:basedOn w:val="1"/>
    <w:qFormat/>
    <w:uiPriority w:val="99"/>
    <w:pPr>
      <w:widowControl/>
      <w:spacing w:before="100" w:beforeAutospacing="1" w:after="100" w:afterAutospacing="1"/>
      <w:jc w:val="left"/>
    </w:pPr>
    <w:rPr>
      <w:rFonts w:ascii="宋体" w:hAnsi="宋体" w:cs="宋体"/>
      <w:b/>
      <w:bCs/>
      <w:sz w:val="24"/>
      <w:szCs w:val="24"/>
    </w:rPr>
  </w:style>
  <w:style w:type="paragraph" w:styleId="22">
    <w:name w:val="Title"/>
    <w:basedOn w:val="1"/>
    <w:link w:val="36"/>
    <w:qFormat/>
    <w:uiPriority w:val="99"/>
    <w:pPr>
      <w:autoSpaceDE w:val="0"/>
      <w:autoSpaceDN w:val="0"/>
      <w:adjustRightInd w:val="0"/>
      <w:spacing w:line="600" w:lineRule="atLeast"/>
      <w:jc w:val="center"/>
      <w:textAlignment w:val="center"/>
    </w:pPr>
    <w:rPr>
      <w:rFonts w:ascii="方正大黑_GBK" w:eastAsia="方正大黑_GBK" w:cs="方正大黑_GBK"/>
      <w:color w:val="000000"/>
      <w:sz w:val="36"/>
      <w:szCs w:val="36"/>
      <w:lang w:val="zh-CN"/>
    </w:rPr>
  </w:style>
  <w:style w:type="table" w:styleId="24">
    <w:name w:val="Table Grid"/>
    <w:basedOn w:val="23"/>
    <w:qFormat/>
    <w:uiPriority w:val="0"/>
    <w:rPr>
      <w:bCs/>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semiHidden/>
    <w:qFormat/>
    <w:uiPriority w:val="99"/>
    <w:rPr>
      <w:rFonts w:cs="Times New Roman"/>
    </w:rPr>
  </w:style>
  <w:style w:type="character" w:customStyle="1" w:styleId="27">
    <w:name w:val="标题 1 Char"/>
    <w:basedOn w:val="25"/>
    <w:link w:val="2"/>
    <w:qFormat/>
    <w:locked/>
    <w:uiPriority w:val="99"/>
    <w:rPr>
      <w:rFonts w:ascii="Times New Roman" w:hAnsi="Times New Roman" w:cs="Times New Roman"/>
      <w:b/>
      <w:kern w:val="44"/>
      <w:sz w:val="44"/>
      <w:szCs w:val="44"/>
      <w:lang w:val="en-US" w:eastAsia="zh-CN" w:bidi="ar-SA"/>
    </w:rPr>
  </w:style>
  <w:style w:type="character" w:customStyle="1" w:styleId="28">
    <w:name w:val="标题 2 Char"/>
    <w:basedOn w:val="25"/>
    <w:link w:val="3"/>
    <w:qFormat/>
    <w:locked/>
    <w:uiPriority w:val="99"/>
    <w:rPr>
      <w:rFonts w:ascii="Calibri" w:hAnsi="Calibri" w:eastAsia="宋体" w:cs="Times New Roman"/>
      <w:b/>
      <w:sz w:val="32"/>
      <w:szCs w:val="32"/>
      <w:lang w:val="en-US" w:eastAsia="zh-CN" w:bidi="ar-SA"/>
    </w:rPr>
  </w:style>
  <w:style w:type="character" w:customStyle="1" w:styleId="29">
    <w:name w:val="标题 3 Char"/>
    <w:basedOn w:val="25"/>
    <w:link w:val="4"/>
    <w:qFormat/>
    <w:locked/>
    <w:uiPriority w:val="99"/>
    <w:rPr>
      <w:rFonts w:ascii="Times New Roman" w:hAnsi="Times New Roman" w:cs="Times New Roman"/>
      <w:kern w:val="0"/>
      <w:sz w:val="32"/>
      <w:szCs w:val="32"/>
    </w:rPr>
  </w:style>
  <w:style w:type="character" w:customStyle="1" w:styleId="30">
    <w:name w:val="标题 4 Char"/>
    <w:basedOn w:val="25"/>
    <w:link w:val="5"/>
    <w:qFormat/>
    <w:locked/>
    <w:uiPriority w:val="99"/>
    <w:rPr>
      <w:rFonts w:ascii="Calibri" w:hAnsi="Calibri" w:eastAsia="宋体" w:cs="Times New Roman"/>
      <w:kern w:val="0"/>
      <w:sz w:val="28"/>
      <w:szCs w:val="28"/>
    </w:rPr>
  </w:style>
  <w:style w:type="character" w:customStyle="1" w:styleId="31">
    <w:name w:val="标题 5 Char"/>
    <w:basedOn w:val="25"/>
    <w:link w:val="6"/>
    <w:qFormat/>
    <w:locked/>
    <w:uiPriority w:val="99"/>
    <w:rPr>
      <w:rFonts w:ascii="Times New Roman" w:hAnsi="Times New Roman" w:cs="Times New Roman"/>
      <w:kern w:val="0"/>
      <w:sz w:val="28"/>
      <w:szCs w:val="28"/>
    </w:rPr>
  </w:style>
  <w:style w:type="paragraph" w:styleId="32">
    <w:name w:val="List Paragraph"/>
    <w:basedOn w:val="1"/>
    <w:qFormat/>
    <w:uiPriority w:val="99"/>
    <w:pPr>
      <w:ind w:firstLine="420"/>
    </w:pPr>
  </w:style>
  <w:style w:type="character" w:customStyle="1" w:styleId="33">
    <w:name w:val="页脚 Char"/>
    <w:basedOn w:val="25"/>
    <w:link w:val="14"/>
    <w:qFormat/>
    <w:locked/>
    <w:uiPriority w:val="99"/>
    <w:rPr>
      <w:rFonts w:ascii="Times New Roman" w:hAnsi="Times New Roman" w:cs="Times New Roman"/>
      <w:kern w:val="0"/>
      <w:sz w:val="18"/>
      <w:szCs w:val="18"/>
    </w:rPr>
  </w:style>
  <w:style w:type="character" w:customStyle="1" w:styleId="34">
    <w:name w:val="文档结构图 Char"/>
    <w:basedOn w:val="25"/>
    <w:link w:val="8"/>
    <w:semiHidden/>
    <w:qFormat/>
    <w:locked/>
    <w:uiPriority w:val="99"/>
    <w:rPr>
      <w:rFonts w:ascii="Heiti SC Light" w:hAnsi="Times New Roman" w:eastAsia="Times New Roman" w:cs="Times New Roman"/>
      <w:kern w:val="0"/>
      <w:sz w:val="24"/>
      <w:szCs w:val="24"/>
    </w:rPr>
  </w:style>
  <w:style w:type="character" w:customStyle="1" w:styleId="35">
    <w:name w:val="批注框文本 Char"/>
    <w:basedOn w:val="25"/>
    <w:link w:val="13"/>
    <w:semiHidden/>
    <w:qFormat/>
    <w:locked/>
    <w:uiPriority w:val="99"/>
    <w:rPr>
      <w:rFonts w:ascii="Heiti SC Light" w:hAnsi="Times New Roman" w:eastAsia="Times New Roman" w:cs="Times New Roman"/>
      <w:kern w:val="0"/>
      <w:sz w:val="18"/>
      <w:szCs w:val="18"/>
    </w:rPr>
  </w:style>
  <w:style w:type="character" w:customStyle="1" w:styleId="36">
    <w:name w:val="标题 Char"/>
    <w:basedOn w:val="25"/>
    <w:link w:val="22"/>
    <w:qFormat/>
    <w:locked/>
    <w:uiPriority w:val="99"/>
    <w:rPr>
      <w:rFonts w:ascii="方正大黑_GBK" w:hAnsi="Times New Roman" w:eastAsia="方正大黑_GBK" w:cs="方正大黑_GBK"/>
      <w:color w:val="000000"/>
      <w:kern w:val="0"/>
      <w:sz w:val="36"/>
      <w:szCs w:val="36"/>
      <w:lang w:val="zh-CN"/>
    </w:rPr>
  </w:style>
  <w:style w:type="paragraph" w:customStyle="1" w:styleId="37">
    <w:name w:val="表字"/>
    <w:basedOn w:val="1"/>
    <w:qFormat/>
    <w:uiPriority w:val="99"/>
    <w:pPr>
      <w:autoSpaceDE w:val="0"/>
      <w:autoSpaceDN w:val="0"/>
      <w:adjustRightInd w:val="0"/>
      <w:spacing w:line="360" w:lineRule="atLeast"/>
      <w:jc w:val="center"/>
      <w:textAlignment w:val="center"/>
    </w:pPr>
    <w:rPr>
      <w:rFonts w:ascii="方正书宋_GBK" w:eastAsia="方正书宋_GBK" w:cs="方正书宋_GBK"/>
      <w:color w:val="000000"/>
      <w:sz w:val="22"/>
      <w:szCs w:val="22"/>
      <w:lang w:val="zh-CN"/>
    </w:rPr>
  </w:style>
  <w:style w:type="paragraph" w:customStyle="1" w:styleId="38">
    <w:name w:val="表标题"/>
    <w:basedOn w:val="1"/>
    <w:qFormat/>
    <w:uiPriority w:val="99"/>
    <w:pPr>
      <w:autoSpaceDE w:val="0"/>
      <w:autoSpaceDN w:val="0"/>
      <w:adjustRightInd w:val="0"/>
      <w:spacing w:line="480" w:lineRule="atLeast"/>
      <w:jc w:val="center"/>
      <w:textAlignment w:val="center"/>
    </w:pPr>
    <w:rPr>
      <w:rFonts w:ascii="方正细黑一简体" w:eastAsia="方正细黑一简体" w:cs="方正细黑一简体"/>
      <w:color w:val="000000"/>
      <w:sz w:val="26"/>
      <w:szCs w:val="26"/>
      <w:lang w:val="zh-CN"/>
    </w:rPr>
  </w:style>
  <w:style w:type="paragraph" w:customStyle="1" w:styleId="39">
    <w:name w:val="p0"/>
    <w:basedOn w:val="1"/>
    <w:qFormat/>
    <w:uiPriority w:val="99"/>
    <w:pPr>
      <w:widowControl/>
    </w:pPr>
    <w:rPr>
      <w:rFonts w:ascii="Calibri" w:hAnsi="Calibri" w:cs="宋体"/>
      <w:b/>
      <w:bCs/>
      <w:sz w:val="21"/>
      <w:szCs w:val="21"/>
    </w:rPr>
  </w:style>
  <w:style w:type="character" w:customStyle="1" w:styleId="40">
    <w:name w:val="页眉 Char"/>
    <w:basedOn w:val="25"/>
    <w:link w:val="15"/>
    <w:qFormat/>
    <w:locked/>
    <w:uiPriority w:val="99"/>
    <w:rPr>
      <w:rFonts w:ascii="Times New Roman" w:hAnsi="Times New Roman" w:cs="Times New Roman"/>
      <w:kern w:val="0"/>
      <w:sz w:val="18"/>
      <w:szCs w:val="18"/>
    </w:rPr>
  </w:style>
  <w:style w:type="paragraph" w:customStyle="1" w:styleId="41">
    <w:name w:val="图表文字"/>
    <w:link w:val="43"/>
    <w:qFormat/>
    <w:uiPriority w:val="0"/>
    <w:pPr>
      <w:jc w:val="center"/>
    </w:pPr>
    <w:rPr>
      <w:rFonts w:ascii="Times New Roman" w:hAnsi="Times New Roman" w:eastAsia="宋体" w:cs="Times New Roman"/>
      <w:kern w:val="0"/>
      <w:sz w:val="21"/>
      <w:szCs w:val="20"/>
      <w:lang w:val="en-US" w:eastAsia="zh-CN" w:bidi="ar-SA"/>
    </w:rPr>
  </w:style>
  <w:style w:type="paragraph" w:customStyle="1" w:styleId="42">
    <w:name w:val="表头"/>
    <w:basedOn w:val="41"/>
    <w:link w:val="45"/>
    <w:qFormat/>
    <w:uiPriority w:val="0"/>
    <w:rPr>
      <w:b/>
      <w:sz w:val="24"/>
      <w:szCs w:val="24"/>
    </w:rPr>
  </w:style>
  <w:style w:type="character" w:customStyle="1" w:styleId="43">
    <w:name w:val="图表文字 Char"/>
    <w:basedOn w:val="25"/>
    <w:link w:val="41"/>
    <w:qFormat/>
    <w:locked/>
    <w:uiPriority w:val="0"/>
    <w:rPr>
      <w:rFonts w:ascii="Times New Roman" w:hAnsi="Times New Roman" w:cs="Times New Roman"/>
      <w:sz w:val="21"/>
      <w:lang w:val="en-US" w:eastAsia="zh-CN" w:bidi="ar-SA"/>
    </w:rPr>
  </w:style>
  <w:style w:type="paragraph" w:customStyle="1" w:styleId="44">
    <w:name w:val="标题3"/>
    <w:basedOn w:val="3"/>
    <w:link w:val="46"/>
    <w:qFormat/>
    <w:uiPriority w:val="0"/>
    <w:rPr>
      <w:sz w:val="30"/>
    </w:rPr>
  </w:style>
  <w:style w:type="character" w:customStyle="1" w:styleId="45">
    <w:name w:val="表头 Char"/>
    <w:basedOn w:val="43"/>
    <w:link w:val="42"/>
    <w:qFormat/>
    <w:locked/>
    <w:uiPriority w:val="0"/>
    <w:rPr>
      <w:rFonts w:ascii="Times New Roman" w:hAnsi="Times New Roman" w:cs="Times New Roman"/>
      <w:b/>
      <w:kern w:val="0"/>
      <w:sz w:val="24"/>
      <w:szCs w:val="24"/>
      <w:lang w:val="en-US" w:eastAsia="zh-CN" w:bidi="ar-SA"/>
    </w:rPr>
  </w:style>
  <w:style w:type="character" w:customStyle="1" w:styleId="46">
    <w:name w:val="标题3 Char"/>
    <w:basedOn w:val="25"/>
    <w:link w:val="44"/>
    <w:qFormat/>
    <w:locked/>
    <w:uiPriority w:val="0"/>
    <w:rPr>
      <w:rFonts w:ascii="Calibri" w:hAnsi="Calibri" w:eastAsia="宋体" w:cs="Times New Roman"/>
      <w:kern w:val="0"/>
      <w:sz w:val="32"/>
      <w:szCs w:val="32"/>
    </w:rPr>
  </w:style>
  <w:style w:type="paragraph" w:customStyle="1" w:styleId="47">
    <w:name w:val="5遂昌表格"/>
    <w:basedOn w:val="1"/>
    <w:next w:val="1"/>
    <w:qFormat/>
    <w:uiPriority w:val="0"/>
    <w:pPr>
      <w:spacing w:line="240" w:lineRule="auto"/>
      <w:ind w:firstLine="0" w:firstLineChars="0"/>
    </w:pPr>
    <w:rPr>
      <w:rFonts w:cs="Courier New"/>
      <w:kern w:val="2"/>
      <w:sz w:val="21"/>
      <w:szCs w:val="24"/>
    </w:rPr>
  </w:style>
  <w:style w:type="paragraph" w:customStyle="1" w:styleId="48">
    <w:name w:val="5图表标题"/>
    <w:basedOn w:val="47"/>
    <w:next w:val="1"/>
    <w:qFormat/>
    <w:uiPriority w:val="0"/>
    <w:pPr>
      <w:spacing w:beforeLines="50" w:afterLines="50"/>
      <w:jc w:val="center"/>
    </w:pPr>
    <w:rPr>
      <w:b/>
    </w:rPr>
  </w:style>
  <w:style w:type="paragraph" w:customStyle="1" w:styleId="49">
    <w:name w:val="0遂昌文正文本"/>
    <w:basedOn w:val="11"/>
    <w:qFormat/>
    <w:uiPriority w:val="0"/>
    <w:rPr>
      <w:rFonts w:ascii="Times New Roman" w:hAnsi="Times New Roman" w:cs="Courier New"/>
      <w:kern w:val="2"/>
    </w:rPr>
  </w:style>
  <w:style w:type="character" w:customStyle="1" w:styleId="50">
    <w:name w:val="纯文本 Char"/>
    <w:basedOn w:val="25"/>
    <w:link w:val="11"/>
    <w:semiHidden/>
    <w:qFormat/>
    <w:uiPriority w:val="99"/>
    <w:rPr>
      <w:rFonts w:ascii="宋体" w:hAnsi="Courier" w:cs="Times New Roman"/>
      <w:kern w:val="0"/>
      <w:sz w:val="24"/>
      <w:szCs w:val="24"/>
    </w:rPr>
  </w:style>
  <w:style w:type="paragraph" w:customStyle="1" w:styleId="51">
    <w:name w:val="Char"/>
    <w:basedOn w:val="1"/>
    <w:next w:val="1"/>
    <w:qFormat/>
    <w:uiPriority w:val="0"/>
    <w:pPr>
      <w:spacing w:line="240" w:lineRule="auto"/>
      <w:ind w:firstLine="0" w:firstLineChars="0"/>
    </w:pPr>
    <w:rPr>
      <w:rFonts w:ascii="Arial" w:hAnsi="Arial" w:cs="Arial"/>
      <w:kern w:val="2"/>
      <w:sz w:val="20"/>
    </w:rPr>
  </w:style>
  <w:style w:type="paragraph" w:customStyle="1" w:styleId="52">
    <w:name w:val="Char1"/>
    <w:basedOn w:val="1"/>
    <w:next w:val="1"/>
    <w:qFormat/>
    <w:uiPriority w:val="0"/>
    <w:pPr>
      <w:spacing w:line="240" w:lineRule="auto"/>
      <w:ind w:firstLine="0" w:firstLineChars="0"/>
    </w:pPr>
    <w:rPr>
      <w:rFonts w:ascii="Arial" w:hAnsi="Arial" w:cs="Arial"/>
      <w:kern w:val="2"/>
      <w:sz w:val="20"/>
    </w:rPr>
  </w:style>
  <w:style w:type="paragraph" w:customStyle="1" w:styleId="53">
    <w:name w:val="Char2"/>
    <w:basedOn w:val="1"/>
    <w:next w:val="1"/>
    <w:qFormat/>
    <w:uiPriority w:val="0"/>
    <w:pPr>
      <w:spacing w:line="240" w:lineRule="auto"/>
      <w:ind w:firstLine="0" w:firstLineChars="0"/>
    </w:pPr>
    <w:rPr>
      <w:rFonts w:ascii="Arial" w:hAnsi="Arial" w:cs="Arial"/>
      <w:kern w:val="2"/>
      <w:sz w:val="20"/>
    </w:rPr>
  </w:style>
  <w:style w:type="paragraph" w:customStyle="1" w:styleId="54">
    <w:name w:val="reader-word-layer reader-word-s1-14"/>
    <w:basedOn w:val="1"/>
    <w:qFormat/>
    <w:uiPriority w:val="0"/>
    <w:pPr>
      <w:widowControl/>
      <w:spacing w:before="100" w:beforeAutospacing="1" w:after="100" w:afterAutospacing="1" w:line="240" w:lineRule="auto"/>
      <w:ind w:firstLine="0" w:firstLineChars="0"/>
      <w:jc w:val="left"/>
    </w:pPr>
    <w:rPr>
      <w:rFonts w:ascii="宋体" w:hAnsi="宋体" w:cs="宋体"/>
      <w:sz w:val="24"/>
      <w:szCs w:val="24"/>
    </w:rPr>
  </w:style>
  <w:style w:type="paragraph" w:customStyle="1" w:styleId="55">
    <w:name w:val="Char3"/>
    <w:basedOn w:val="1"/>
    <w:next w:val="1"/>
    <w:qFormat/>
    <w:uiPriority w:val="0"/>
    <w:pPr>
      <w:spacing w:line="240" w:lineRule="auto"/>
      <w:ind w:firstLine="0" w:firstLineChars="0"/>
    </w:pPr>
    <w:rPr>
      <w:rFonts w:ascii="Arial" w:hAnsi="Arial" w:cs="Arial"/>
      <w:kern w:val="2"/>
      <w:sz w:val="20"/>
    </w:rPr>
  </w:style>
  <w:style w:type="table" w:customStyle="1" w:styleId="56">
    <w:name w:val="网格型1"/>
    <w:basedOn w:val="23"/>
    <w:qFormat/>
    <w:uiPriority w:val="59"/>
    <w:rPr>
      <w:b/>
      <w:bCs/>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
    <w:basedOn w:val="23"/>
    <w:qFormat/>
    <w:uiPriority w:val="59"/>
    <w:rPr>
      <w:b/>
      <w:bCs/>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标题表格"/>
    <w:basedOn w:val="1"/>
    <w:qFormat/>
    <w:uiPriority w:val="0"/>
    <w:pPr>
      <w:ind w:firstLine="0" w:firstLineChars="0"/>
      <w:jc w:val="center"/>
    </w:pPr>
    <w:rPr>
      <w:rFonts w:ascii="黑体" w:hAnsi="宋体" w:eastAsia="黑体"/>
      <w:color w:val="000000"/>
      <w:kern w:val="2"/>
      <w:szCs w:val="28"/>
    </w:rPr>
  </w:style>
  <w:style w:type="table" w:customStyle="1" w:styleId="59">
    <w:name w:val="网格型3"/>
    <w:basedOn w:val="23"/>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表格标题"/>
    <w:basedOn w:val="42"/>
    <w:link w:val="61"/>
    <w:qFormat/>
    <w:uiPriority w:val="0"/>
  </w:style>
  <w:style w:type="character" w:customStyle="1" w:styleId="61">
    <w:name w:val="表格标题 Char"/>
    <w:basedOn w:val="45"/>
    <w:link w:val="60"/>
    <w:qFormat/>
    <w:uiPriority w:val="0"/>
    <w:rPr>
      <w:rFonts w:ascii="Times New Roman" w:hAnsi="Times New Roman"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4.png"/><Relationship Id="rId43" Type="http://schemas.openxmlformats.org/officeDocument/2006/relationships/chart" Target="charts/chart17.xml"/><Relationship Id="rId42" Type="http://schemas.openxmlformats.org/officeDocument/2006/relationships/chart" Target="charts/chart16.xml"/><Relationship Id="rId41" Type="http://schemas.openxmlformats.org/officeDocument/2006/relationships/chart" Target="charts/chart15.xml"/><Relationship Id="rId40" Type="http://schemas.openxmlformats.org/officeDocument/2006/relationships/chart" Target="charts/chart14.xml"/><Relationship Id="rId4" Type="http://schemas.openxmlformats.org/officeDocument/2006/relationships/endnotes" Target="endnotes.xml"/><Relationship Id="rId39" Type="http://schemas.openxmlformats.org/officeDocument/2006/relationships/chart" Target="charts/chart13.xml"/><Relationship Id="rId38" Type="http://schemas.openxmlformats.org/officeDocument/2006/relationships/chart" Target="charts/chart12.xml"/><Relationship Id="rId37" Type="http://schemas.openxmlformats.org/officeDocument/2006/relationships/chart" Target="charts/chart11.xml"/><Relationship Id="rId36" Type="http://schemas.openxmlformats.org/officeDocument/2006/relationships/chart" Target="charts/chart10.xml"/><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chart" Target="charts/chart9.xml"/><Relationship Id="rId32" Type="http://schemas.openxmlformats.org/officeDocument/2006/relationships/image" Target="media/image11.wmf"/><Relationship Id="rId31" Type="http://schemas.openxmlformats.org/officeDocument/2006/relationships/image" Target="media/image10.wmf"/><Relationship Id="rId30" Type="http://schemas.openxmlformats.org/officeDocument/2006/relationships/chart" Target="charts/chart8.xml"/><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chart" Target="charts/chart7.xml"/><Relationship Id="rId27" Type="http://schemas.openxmlformats.org/officeDocument/2006/relationships/image" Target="media/image8.wmf"/><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chart" Target="charts/chart6.xml"/><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chart" Target="charts/chart5.xml"/><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24037;&#20316;&#318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8220;&#21313;&#20108;&#20116;&#8221;&#21450;&#8220;&#21313;&#19977;&#20116;&#8221;&#21464;&#21270;&#36235;&#21183;&#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24037;&#20316;&#318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24037;&#20316;&#318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24037;&#20316;&#318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zhengyu:Documents:&#23398;&#26657;&#24037;&#20316;:&#25216;&#26415;&#26381;&#21153;&#31867;&#35838;&#39064;:2015&#24180;:&#20029;&#27700;&#20113;&#21644;&#21439;&#36947;&#36335;&#36816;&#36755;&#8220;&#21313;&#19977;&#20116;&#8221;&#21457;&#23637;&#35268;&#21010;:&#30011;&#22270;:&#24037;&#20316;&#318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3458;&#36816;&#37327;&#39044;&#2797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3458;&#36816;&#21608;&#36716;&#3732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31185;&#30740;\1.&#31185;&#30740;&#39033;&#30446;\8.&#20113;&#21644;&#21439;&#20132;&#36890;&#36816;&#36755;&#21313;&#19977;&#20116;&#35268;&#21010;&#35838;&#39064;\&#39044;&#27979;&#31532;&#20108;&#31295;\&#26426;&#21160;&#36710;&#25968;&#37327;&#39044;&#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title>
      <c:tx>
        <c:rich>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r>
              <a:rPr lang="en-US" altLang="zh-CN" sz="1200" b="1" i="0" u="none" strike="noStrike" baseline="0">
                <a:effectLst/>
              </a:rPr>
              <a:t>2011-2015</a:t>
            </a:r>
            <a:r>
              <a:rPr lang="zh-CN" altLang="en-US" sz="1200"/>
              <a:t>年云和县道路客运量</a:t>
            </a:r>
            <a:endParaRPr lang="en-US" altLang="zh-CN" sz="1200"/>
          </a:p>
          <a:p>
            <a:pPr>
              <a:defRPr lang="zh-CN" sz="1800" b="1" i="0" u="none" strike="noStrike" kern="1200" baseline="0">
                <a:solidFill>
                  <a:schemeClr val="tx1"/>
                </a:solidFill>
                <a:latin typeface="+mn-lt"/>
                <a:ea typeface="+mn-ea"/>
                <a:cs typeface="+mn-cs"/>
              </a:defRPr>
            </a:pPr>
            <a:r>
              <a:rPr lang="zh-CN" altLang="en-US" sz="1200"/>
              <a:t>（万人）</a:t>
            </a:r>
            <a:endParaRPr lang="zh-CN" altLang="en-US" sz="1200"/>
          </a:p>
        </c:rich>
      </c:tx>
      <c:layout/>
      <c:overlay val="false"/>
    </c:title>
    <c:autoTitleDeleted val="false"/>
    <c:plotArea>
      <c:layout/>
      <c:lineChart>
        <c:grouping val="standard"/>
        <c:varyColors val="false"/>
        <c:ser>
          <c:idx val="0"/>
          <c:order val="0"/>
          <c:tx>
            <c:strRef>
              <c:f>工作表1!$B$1</c:f>
              <c:strCache>
                <c:ptCount val="1"/>
                <c:pt idx="0">
                  <c:v>2011-2015年云和县道路客运量（万人）</c:v>
                </c:pt>
              </c:strCache>
            </c:strRef>
          </c:tx>
          <c:spPr>
            <a:ln w="47625" cap="rnd" cmpd="sng" algn="ctr">
              <a:solidFill>
                <a:srgbClr val="FF6600"/>
              </a:solidFill>
              <a:prstDash val="solid"/>
              <a:round/>
            </a:ln>
          </c:spPr>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工作表1!$A$2:$A$6</c:f>
              <c:numCache>
                <c:formatCode>General</c:formatCode>
                <c:ptCount val="5"/>
                <c:pt idx="0">
                  <c:v>2011</c:v>
                </c:pt>
                <c:pt idx="1">
                  <c:v>2012</c:v>
                </c:pt>
                <c:pt idx="2">
                  <c:v>2013</c:v>
                </c:pt>
                <c:pt idx="3">
                  <c:v>2014</c:v>
                </c:pt>
                <c:pt idx="4">
                  <c:v>2015</c:v>
                </c:pt>
              </c:numCache>
            </c:numRef>
          </c:cat>
          <c:val>
            <c:numRef>
              <c:f>工作表1!$B$2:$B$6</c:f>
              <c:numCache>
                <c:formatCode>General</c:formatCode>
                <c:ptCount val="5"/>
                <c:pt idx="0">
                  <c:v>223</c:v>
                </c:pt>
                <c:pt idx="1">
                  <c:v>223</c:v>
                </c:pt>
                <c:pt idx="2">
                  <c:v>223</c:v>
                </c:pt>
                <c:pt idx="3">
                  <c:v>175</c:v>
                </c:pt>
                <c:pt idx="4">
                  <c:v>173</c:v>
                </c:pt>
              </c:numCache>
            </c:numRef>
          </c:val>
          <c:smooth val="false"/>
        </c:ser>
        <c:ser>
          <c:idx val="1"/>
          <c:order val="1"/>
          <c:tx>
            <c:strRef>
              <c:f>工作表1!$C$1</c:f>
              <c:strCache>
                <c:ptCount val="1"/>
                <c:pt idx="0">
                  <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工作表1!$A$2:$A$6</c:f>
              <c:numCache>
                <c:formatCode>General</c:formatCode>
                <c:ptCount val="5"/>
                <c:pt idx="0">
                  <c:v>2011</c:v>
                </c:pt>
                <c:pt idx="1">
                  <c:v>2012</c:v>
                </c:pt>
                <c:pt idx="2">
                  <c:v>2013</c:v>
                </c:pt>
                <c:pt idx="3">
                  <c:v>2014</c:v>
                </c:pt>
                <c:pt idx="4">
                  <c:v>2015</c:v>
                </c:pt>
              </c:numCache>
            </c:numRef>
          </c:cat>
          <c:val>
            <c:numRef>
              <c:f>工作表1!$C$2:$C$6</c:f>
              <c:numCache>
                <c:formatCode>General</c:formatCode>
                <c:ptCount val="5"/>
              </c:numCache>
            </c:numRef>
          </c:val>
          <c:smooth val="false"/>
        </c:ser>
        <c:dLbls>
          <c:showLegendKey val="false"/>
          <c:showVal val="true"/>
          <c:showCatName val="false"/>
          <c:showSerName val="false"/>
          <c:showPercent val="false"/>
          <c:showBubbleSize val="false"/>
        </c:dLbls>
        <c:marker val="false"/>
        <c:smooth val="false"/>
        <c:axId val="223978624"/>
        <c:axId val="267367168"/>
      </c:lineChart>
      <c:catAx>
        <c:axId val="223978624"/>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367168"/>
        <c:crosses val="autoZero"/>
        <c:auto val="true"/>
        <c:lblAlgn val="ctr"/>
        <c:lblOffset val="100"/>
        <c:noMultiLvlLbl val="false"/>
      </c:catAx>
      <c:valAx>
        <c:axId val="267367168"/>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23978624"/>
        <c:crosses val="autoZero"/>
        <c:crossBetween val="between"/>
      </c:valAx>
    </c:plotArea>
    <c:plotVisOnly val="true"/>
    <c:dispBlanksAs val="gap"/>
    <c:showDLblsOverMax val="false"/>
  </c:chart>
  <c:txPr>
    <a:bodyPr/>
    <a:lstStyle/>
    <a:p>
      <a:pPr>
        <a:defRPr lang="zh-CN"/>
      </a:pPr>
    </a:p>
  </c:txPr>
  <c:externalData r:id="rId1">
    <c:autoUpdate val="false"/>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工作表1!$A$3</c:f>
              <c:strCache>
                <c:ptCount val="1"/>
                <c:pt idx="0">
                  <c:v>客运量</c:v>
                </c:pt>
              </c:strCache>
            </c:strRef>
          </c:tx>
          <c:spPr>
            <a:ln>
              <a:solidFill>
                <a:schemeClr val="tx2">
                  <a:lumMod val="40000"/>
                  <a:lumOff val="60000"/>
                </a:schemeClr>
              </a:solidFill>
            </a:ln>
          </c:spPr>
          <c:invertIfNegative val="false"/>
          <c:dLbls>
            <c:dLbl>
              <c:idx val="0"/>
              <c:layout>
                <c:manualLayout>
                  <c:x val="0.0288459645669292"/>
                  <c:y val="-0.014545454545454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264423076923077"/>
                  <c:y val="-0.0181818181818182"/>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工作表1!$B$2:$C$2</c:f>
              <c:strCache>
                <c:ptCount val="2"/>
                <c:pt idx="0">
                  <c:v>十三五末期</c:v>
                </c:pt>
                <c:pt idx="1">
                  <c:v>十二五末期</c:v>
                </c:pt>
              </c:strCache>
            </c:strRef>
          </c:cat>
          <c:val>
            <c:numRef>
              <c:f>工作表1!$B$3:$C$3</c:f>
              <c:numCache>
                <c:formatCode>General</c:formatCode>
                <c:ptCount val="2"/>
                <c:pt idx="0">
                  <c:v>281</c:v>
                </c:pt>
                <c:pt idx="1">
                  <c:v>173</c:v>
                </c:pt>
              </c:numCache>
            </c:numRef>
          </c:val>
        </c:ser>
        <c:dLbls>
          <c:showLegendKey val="false"/>
          <c:showVal val="true"/>
          <c:showCatName val="false"/>
          <c:showSerName val="false"/>
          <c:showPercent val="false"/>
          <c:showBubbleSize val="false"/>
        </c:dLbls>
        <c:gapWidth val="150"/>
        <c:axId val="284379392"/>
        <c:axId val="284394624"/>
      </c:barChart>
      <c:catAx>
        <c:axId val="284379392"/>
        <c:scaling>
          <c:orientation val="minMax"/>
        </c:scaling>
        <c:delete val="fals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4394624"/>
        <c:crosses val="autoZero"/>
        <c:auto val="true"/>
        <c:lblAlgn val="ctr"/>
        <c:lblOffset val="100"/>
        <c:noMultiLvlLbl val="false"/>
      </c:catAx>
      <c:valAx>
        <c:axId val="284394624"/>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4379392"/>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工作表1!$A$7</c:f>
              <c:strCache>
                <c:ptCount val="1"/>
                <c:pt idx="0">
                  <c:v>客运周转量</c:v>
                </c:pt>
              </c:strCache>
            </c:strRef>
          </c:tx>
          <c:spPr>
            <a:ln>
              <a:solidFill>
                <a:schemeClr val="tx2">
                  <a:lumMod val="40000"/>
                  <a:lumOff val="60000"/>
                </a:schemeClr>
              </a:solidFill>
            </a:ln>
          </c:spPr>
          <c:invertIfNegative val="false"/>
          <c:dLbls>
            <c:dLbl>
              <c:idx val="0"/>
              <c:layout>
                <c:manualLayout>
                  <c:x val="0.026634382566586"/>
                  <c:y val="-0.00892857142857142"/>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435835351089588"/>
                  <c:y val="0.0044642857142856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工作表1!$B$6:$C$6</c:f>
              <c:strCache>
                <c:ptCount val="2"/>
                <c:pt idx="0">
                  <c:v>十三五末期</c:v>
                </c:pt>
                <c:pt idx="1">
                  <c:v>十二五末期</c:v>
                </c:pt>
              </c:strCache>
            </c:strRef>
          </c:cat>
          <c:val>
            <c:numRef>
              <c:f>工作表1!$B$7:$C$7</c:f>
              <c:numCache>
                <c:formatCode>General</c:formatCode>
                <c:ptCount val="2"/>
                <c:pt idx="0">
                  <c:v>63169</c:v>
                </c:pt>
                <c:pt idx="1">
                  <c:v>6260</c:v>
                </c:pt>
              </c:numCache>
            </c:numRef>
          </c:val>
        </c:ser>
        <c:dLbls>
          <c:showLegendKey val="false"/>
          <c:showVal val="false"/>
          <c:showCatName val="false"/>
          <c:showSerName val="false"/>
          <c:showPercent val="false"/>
          <c:showBubbleSize val="false"/>
        </c:dLbls>
        <c:gapWidth val="150"/>
        <c:axId val="290079872"/>
        <c:axId val="290081408"/>
      </c:barChart>
      <c:catAx>
        <c:axId val="290079872"/>
        <c:scaling>
          <c:orientation val="minMax"/>
        </c:scaling>
        <c:delete val="false"/>
        <c:axPos val="b"/>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081408"/>
        <c:crosses val="autoZero"/>
        <c:auto val="true"/>
        <c:lblAlgn val="ctr"/>
        <c:lblOffset val="100"/>
        <c:noMultiLvlLbl val="false"/>
      </c:catAx>
      <c:valAx>
        <c:axId val="290081408"/>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079872"/>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工作表1!$A$11</c:f>
              <c:strCache>
                <c:ptCount val="1"/>
                <c:pt idx="0">
                  <c:v>货运量</c:v>
                </c:pt>
              </c:strCache>
            </c:strRef>
          </c:tx>
          <c:invertIfNegative val="false"/>
          <c:dLbls>
            <c:dLbl>
              <c:idx val="0"/>
              <c:layout>
                <c:manualLayout>
                  <c:x val="0.0305555555555555"/>
                  <c:y val="-0.046296296296296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305555555555555"/>
                  <c:y val="-0.046296296296296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工作表1!$B$10:$C$10</c:f>
              <c:strCache>
                <c:ptCount val="2"/>
                <c:pt idx="0">
                  <c:v>十三五末期</c:v>
                </c:pt>
                <c:pt idx="1">
                  <c:v>十二五末期</c:v>
                </c:pt>
              </c:strCache>
            </c:strRef>
          </c:cat>
          <c:val>
            <c:numRef>
              <c:f>工作表1!$B$11:$C$11</c:f>
              <c:numCache>
                <c:formatCode>General</c:formatCode>
                <c:ptCount val="2"/>
                <c:pt idx="0">
                  <c:v>221</c:v>
                </c:pt>
                <c:pt idx="1">
                  <c:v>186</c:v>
                </c:pt>
              </c:numCache>
            </c:numRef>
          </c:val>
        </c:ser>
        <c:dLbls>
          <c:showLegendKey val="false"/>
          <c:showVal val="false"/>
          <c:showCatName val="false"/>
          <c:showSerName val="false"/>
          <c:showPercent val="false"/>
          <c:showBubbleSize val="false"/>
        </c:dLbls>
        <c:gapWidth val="150"/>
        <c:axId val="290093696"/>
        <c:axId val="290111872"/>
      </c:barChart>
      <c:catAx>
        <c:axId val="290093696"/>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11872"/>
        <c:crosses val="autoZero"/>
        <c:auto val="true"/>
        <c:lblAlgn val="ctr"/>
        <c:lblOffset val="100"/>
        <c:noMultiLvlLbl val="false"/>
      </c:catAx>
      <c:valAx>
        <c:axId val="290111872"/>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093696"/>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工作表1!$A$16</c:f>
              <c:strCache>
                <c:ptCount val="1"/>
                <c:pt idx="0">
                  <c:v>货运周转量</c:v>
                </c:pt>
              </c:strCache>
            </c:strRef>
          </c:tx>
          <c:invertIfNegative val="false"/>
          <c:dLbls>
            <c:dLbl>
              <c:idx val="0"/>
              <c:layout>
                <c:manualLayout>
                  <c:x val="0.0377976315468358"/>
                  <c:y val="-0.029896421845574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461971052239105"/>
                  <c:y val="-0.0179378531073446"/>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工作表1!$B$15:$C$15</c:f>
              <c:strCache>
                <c:ptCount val="2"/>
                <c:pt idx="0">
                  <c:v>十三五末期</c:v>
                </c:pt>
                <c:pt idx="1">
                  <c:v>十二五末期</c:v>
                </c:pt>
              </c:strCache>
            </c:strRef>
          </c:cat>
          <c:val>
            <c:numRef>
              <c:f>工作表1!$B$16:$C$16</c:f>
              <c:numCache>
                <c:formatCode>General</c:formatCode>
                <c:ptCount val="2"/>
                <c:pt idx="0">
                  <c:v>21631</c:v>
                </c:pt>
                <c:pt idx="1">
                  <c:v>16810</c:v>
                </c:pt>
              </c:numCache>
            </c:numRef>
          </c:val>
        </c:ser>
        <c:dLbls>
          <c:showLegendKey val="false"/>
          <c:showVal val="false"/>
          <c:showCatName val="false"/>
          <c:showSerName val="false"/>
          <c:showPercent val="false"/>
          <c:showBubbleSize val="false"/>
        </c:dLbls>
        <c:gapWidth val="150"/>
        <c:axId val="290136448"/>
        <c:axId val="290137984"/>
      </c:barChart>
      <c:catAx>
        <c:axId val="290136448"/>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37984"/>
        <c:crosses val="autoZero"/>
        <c:auto val="true"/>
        <c:lblAlgn val="ctr"/>
        <c:lblOffset val="100"/>
        <c:noMultiLvlLbl val="false"/>
      </c:catAx>
      <c:valAx>
        <c:axId val="290137984"/>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36448"/>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工作表1!$A$43:$B$43</c:f>
              <c:strCache>
                <c:ptCount val="1"/>
                <c:pt idx="0">
                  <c:v>营业性客运车辆保有量</c:v>
                </c:pt>
              </c:strCache>
            </c:strRef>
          </c:tx>
          <c:invertIfNegative val="false"/>
          <c:dLbls>
            <c:dLbl>
              <c:idx val="0"/>
              <c:layout>
                <c:manualLayout>
                  <c:x val="0.0271367521367521"/>
                  <c:y val="-0.0400883838383838"/>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361823361823362"/>
                  <c:y val="-0.016035353535353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工作表1!$C$42:$D$42</c:f>
              <c:strCache>
                <c:ptCount val="2"/>
                <c:pt idx="0">
                  <c:v>十三五末期</c:v>
                </c:pt>
                <c:pt idx="1">
                  <c:v>十二五末期</c:v>
                </c:pt>
              </c:strCache>
            </c:strRef>
          </c:cat>
          <c:val>
            <c:numRef>
              <c:f>工作表1!$C$43:$D$43</c:f>
              <c:numCache>
                <c:formatCode>General</c:formatCode>
                <c:ptCount val="2"/>
                <c:pt idx="0">
                  <c:v>110</c:v>
                </c:pt>
                <c:pt idx="1">
                  <c:v>99</c:v>
                </c:pt>
              </c:numCache>
            </c:numRef>
          </c:val>
        </c:ser>
        <c:dLbls>
          <c:showLegendKey val="false"/>
          <c:showVal val="false"/>
          <c:showCatName val="false"/>
          <c:showSerName val="false"/>
          <c:showPercent val="false"/>
          <c:showBubbleSize val="false"/>
        </c:dLbls>
        <c:gapWidth val="150"/>
        <c:axId val="290166656"/>
        <c:axId val="290168192"/>
      </c:barChart>
      <c:catAx>
        <c:axId val="290166656"/>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68192"/>
        <c:crosses val="autoZero"/>
        <c:auto val="true"/>
        <c:lblAlgn val="ctr"/>
        <c:lblOffset val="100"/>
        <c:noMultiLvlLbl val="false"/>
      </c:catAx>
      <c:valAx>
        <c:axId val="290168192"/>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66656"/>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工作表1!$A$57:$B$57</c:f>
              <c:strCache>
                <c:ptCount val="1"/>
                <c:pt idx="0">
                  <c:v>营业性货运车辆保有量</c:v>
                </c:pt>
              </c:strCache>
            </c:strRef>
          </c:tx>
          <c:invertIfNegative val="false"/>
          <c:dLbls>
            <c:dLbl>
              <c:idx val="0"/>
              <c:layout>
                <c:manualLayout>
                  <c:x val="0.0361823361823361"/>
                  <c:y val="-0.0320707070707071"/>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452279202279201"/>
                  <c:y val="-0.024053030303030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工作表1!$C$56:$D$56</c:f>
              <c:strCache>
                <c:ptCount val="2"/>
                <c:pt idx="0">
                  <c:v>十三五末期</c:v>
                </c:pt>
                <c:pt idx="1">
                  <c:v>十二五末期</c:v>
                </c:pt>
              </c:strCache>
            </c:strRef>
          </c:cat>
          <c:val>
            <c:numRef>
              <c:f>工作表1!$C$57:$D$57</c:f>
              <c:numCache>
                <c:formatCode>General</c:formatCode>
                <c:ptCount val="2"/>
                <c:pt idx="0">
                  <c:v>640</c:v>
                </c:pt>
                <c:pt idx="1">
                  <c:v>581</c:v>
                </c:pt>
              </c:numCache>
            </c:numRef>
          </c:val>
        </c:ser>
        <c:dLbls>
          <c:showLegendKey val="false"/>
          <c:showVal val="false"/>
          <c:showCatName val="false"/>
          <c:showSerName val="false"/>
          <c:showPercent val="false"/>
          <c:showBubbleSize val="false"/>
        </c:dLbls>
        <c:gapWidth val="150"/>
        <c:axId val="290188672"/>
        <c:axId val="290198656"/>
      </c:barChart>
      <c:catAx>
        <c:axId val="290188672"/>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98656"/>
        <c:crosses val="autoZero"/>
        <c:auto val="true"/>
        <c:lblAlgn val="ctr"/>
        <c:lblOffset val="100"/>
        <c:noMultiLvlLbl val="false"/>
      </c:catAx>
      <c:valAx>
        <c:axId val="290198656"/>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188672"/>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工作表1!$A$24</c:f>
              <c:strCache>
                <c:ptCount val="1"/>
                <c:pt idx="0">
                  <c:v>出租车数量</c:v>
                </c:pt>
              </c:strCache>
            </c:strRef>
          </c:tx>
          <c:invertIfNegative val="false"/>
          <c:dLbls>
            <c:dLbl>
              <c:idx val="0"/>
              <c:layout>
                <c:manualLayout>
                  <c:x val="0.0377976315468358"/>
                  <c:y val="-0.029896421845574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377976315468357"/>
                  <c:y val="-0.029896421845574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工作表1!$B$23:$C$23</c:f>
              <c:strCache>
                <c:ptCount val="2"/>
                <c:pt idx="0">
                  <c:v>十三五末期</c:v>
                </c:pt>
                <c:pt idx="1">
                  <c:v>十二五末期</c:v>
                </c:pt>
              </c:strCache>
            </c:strRef>
          </c:cat>
          <c:val>
            <c:numRef>
              <c:f>工作表1!$B$24:$C$24</c:f>
              <c:numCache>
                <c:formatCode>General</c:formatCode>
                <c:ptCount val="2"/>
                <c:pt idx="0">
                  <c:v>44</c:v>
                </c:pt>
                <c:pt idx="1">
                  <c:v>24</c:v>
                </c:pt>
              </c:numCache>
            </c:numRef>
          </c:val>
        </c:ser>
        <c:dLbls>
          <c:showLegendKey val="false"/>
          <c:showVal val="false"/>
          <c:showCatName val="false"/>
          <c:showSerName val="false"/>
          <c:showPercent val="false"/>
          <c:showBubbleSize val="false"/>
        </c:dLbls>
        <c:gapWidth val="150"/>
        <c:axId val="290239616"/>
        <c:axId val="290241152"/>
      </c:barChart>
      <c:catAx>
        <c:axId val="290239616"/>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241152"/>
        <c:crosses val="autoZero"/>
        <c:auto val="true"/>
        <c:lblAlgn val="ctr"/>
        <c:lblOffset val="100"/>
        <c:noMultiLvlLbl val="false"/>
      </c:catAx>
      <c:valAx>
        <c:axId val="290241152"/>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239616"/>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barChart>
        <c:barDir val="col"/>
        <c:grouping val="clustered"/>
        <c:varyColors val="false"/>
        <c:ser>
          <c:idx val="0"/>
          <c:order val="0"/>
          <c:tx>
            <c:strRef>
              <c:f>工作表1!$A$28</c:f>
              <c:strCache>
                <c:ptCount val="1"/>
                <c:pt idx="0">
                  <c:v>公交车保有量</c:v>
                </c:pt>
              </c:strCache>
            </c:strRef>
          </c:tx>
          <c:invertIfNegative val="false"/>
          <c:dLbls>
            <c:dLbl>
              <c:idx val="0"/>
              <c:layout>
                <c:manualLayout>
                  <c:x val="0.0333333333333333"/>
                  <c:y val="-0.0416666666666667"/>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333333333333332"/>
                  <c:y val="-0.055555555555555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工作表1!$B$27:$C$27</c:f>
              <c:strCache>
                <c:ptCount val="2"/>
                <c:pt idx="0">
                  <c:v>十三五末期</c:v>
                </c:pt>
                <c:pt idx="1">
                  <c:v>十二五末期</c:v>
                </c:pt>
              </c:strCache>
            </c:strRef>
          </c:cat>
          <c:val>
            <c:numRef>
              <c:f>工作表1!$B$28:$C$28</c:f>
              <c:numCache>
                <c:formatCode>General</c:formatCode>
                <c:ptCount val="2"/>
                <c:pt idx="0">
                  <c:v>34</c:v>
                </c:pt>
                <c:pt idx="1">
                  <c:v>16</c:v>
                </c:pt>
              </c:numCache>
            </c:numRef>
          </c:val>
        </c:ser>
        <c:dLbls>
          <c:showLegendKey val="false"/>
          <c:showVal val="false"/>
          <c:showCatName val="false"/>
          <c:showSerName val="false"/>
          <c:showPercent val="false"/>
          <c:showBubbleSize val="false"/>
        </c:dLbls>
        <c:gapWidth val="150"/>
        <c:axId val="290253440"/>
        <c:axId val="290271616"/>
      </c:barChart>
      <c:catAx>
        <c:axId val="290253440"/>
        <c:scaling>
          <c:orientation val="minMax"/>
        </c:scaling>
        <c:delete val="false"/>
        <c:axPos val="b"/>
        <c:numFmt formatCode="General" sourceLinked="fals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271616"/>
        <c:crosses val="autoZero"/>
        <c:auto val="true"/>
        <c:lblAlgn val="ctr"/>
        <c:lblOffset val="100"/>
        <c:noMultiLvlLbl val="false"/>
      </c:catAx>
      <c:valAx>
        <c:axId val="290271616"/>
        <c:scaling>
          <c:orientation val="minMax"/>
        </c:scaling>
        <c:delete val="false"/>
        <c:axPos val="l"/>
        <c:majorGridlines/>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90253440"/>
        <c:crosses val="autoZero"/>
        <c:crossBetween val="between"/>
      </c:valAx>
      <c:spPr>
        <a:solidFill>
          <a:schemeClr val="bg1"/>
        </a:solidFill>
        <a:ln>
          <a:noFill/>
        </a:ln>
        <a:effectLst/>
      </c:spPr>
    </c:plotArea>
    <c:plotVisOnly val="true"/>
    <c:dispBlanksAs val="gap"/>
    <c:showDLblsOverMax val="false"/>
  </c:chart>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title>
      <c:tx>
        <c:rich>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r>
              <a:rPr lang="en-US" altLang="zh-CN" sz="1200"/>
              <a:t>2011-2015</a:t>
            </a:r>
            <a:r>
              <a:rPr lang="zh-CN" altLang="en-US" sz="1200"/>
              <a:t>年云和县道路客运周转量（万人公里）</a:t>
            </a:r>
            <a:endParaRPr lang="zh-CN" altLang="en-US" sz="1200"/>
          </a:p>
        </c:rich>
      </c:tx>
      <c:layout/>
      <c:overlay val="false"/>
    </c:title>
    <c:autoTitleDeleted val="false"/>
    <c:plotArea>
      <c:layout/>
      <c:lineChart>
        <c:grouping val="standard"/>
        <c:varyColors val="false"/>
        <c:ser>
          <c:idx val="0"/>
          <c:order val="0"/>
          <c:tx>
            <c:strRef>
              <c:f>工作表1!$I$1</c:f>
              <c:strCache>
                <c:ptCount val="1"/>
                <c:pt idx="0">
                  <c:v>2011-2015年云和县道路客运周转量（万人公里）</c:v>
                </c:pt>
              </c:strCache>
            </c:strRef>
          </c:tx>
          <c:spPr>
            <a:ln w="47625" cap="rnd" cmpd="sng" algn="ctr">
              <a:solidFill>
                <a:srgbClr val="FF6600"/>
              </a:solidFill>
              <a:prstDash val="solid"/>
              <a:round/>
            </a:ln>
          </c:spPr>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工作表1!$H$2:$H$6</c:f>
              <c:numCache>
                <c:formatCode>General</c:formatCode>
                <c:ptCount val="5"/>
                <c:pt idx="0">
                  <c:v>2011</c:v>
                </c:pt>
                <c:pt idx="1">
                  <c:v>2012</c:v>
                </c:pt>
                <c:pt idx="2">
                  <c:v>2013</c:v>
                </c:pt>
                <c:pt idx="3">
                  <c:v>2014</c:v>
                </c:pt>
                <c:pt idx="4">
                  <c:v>2015</c:v>
                </c:pt>
              </c:numCache>
            </c:numRef>
          </c:cat>
          <c:val>
            <c:numRef>
              <c:f>工作表1!$I$2:$I$6</c:f>
              <c:numCache>
                <c:formatCode>General</c:formatCode>
                <c:ptCount val="5"/>
                <c:pt idx="0">
                  <c:v>7050</c:v>
                </c:pt>
                <c:pt idx="1">
                  <c:v>7080</c:v>
                </c:pt>
                <c:pt idx="2">
                  <c:v>7181</c:v>
                </c:pt>
                <c:pt idx="3">
                  <c:v>6361</c:v>
                </c:pt>
                <c:pt idx="4">
                  <c:v>6260</c:v>
                </c:pt>
              </c:numCache>
            </c:numRef>
          </c:val>
          <c:smooth val="false"/>
        </c:ser>
        <c:ser>
          <c:idx val="1"/>
          <c:order val="1"/>
          <c:tx>
            <c:strRef>
              <c:f>工作表1!$J$1</c:f>
              <c:strCache>
                <c:ptCount val="1"/>
                <c:pt idx="0">
                  <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工作表1!$H$2:$H$6</c:f>
              <c:numCache>
                <c:formatCode>General</c:formatCode>
                <c:ptCount val="5"/>
                <c:pt idx="0">
                  <c:v>2011</c:v>
                </c:pt>
                <c:pt idx="1">
                  <c:v>2012</c:v>
                </c:pt>
                <c:pt idx="2">
                  <c:v>2013</c:v>
                </c:pt>
                <c:pt idx="3">
                  <c:v>2014</c:v>
                </c:pt>
                <c:pt idx="4">
                  <c:v>2015</c:v>
                </c:pt>
              </c:numCache>
            </c:numRef>
          </c:cat>
          <c:val>
            <c:numRef>
              <c:f>工作表1!$J$2:$J$6</c:f>
              <c:numCache>
                <c:formatCode>General</c:formatCode>
                <c:ptCount val="5"/>
              </c:numCache>
            </c:numRef>
          </c:val>
          <c:smooth val="false"/>
        </c:ser>
        <c:dLbls>
          <c:showLegendKey val="false"/>
          <c:showVal val="true"/>
          <c:showCatName val="false"/>
          <c:showSerName val="false"/>
          <c:showPercent val="false"/>
          <c:showBubbleSize val="false"/>
        </c:dLbls>
        <c:marker val="false"/>
        <c:smooth val="false"/>
        <c:axId val="267528064"/>
        <c:axId val="267529600"/>
      </c:lineChart>
      <c:catAx>
        <c:axId val="267528064"/>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29600"/>
        <c:crosses val="autoZero"/>
        <c:auto val="true"/>
        <c:lblAlgn val="ctr"/>
        <c:lblOffset val="100"/>
        <c:noMultiLvlLbl val="false"/>
      </c:catAx>
      <c:valAx>
        <c:axId val="267529600"/>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28064"/>
        <c:crosses val="autoZero"/>
        <c:crossBetween val="between"/>
      </c:valAx>
    </c:plotArea>
    <c:plotVisOnly val="true"/>
    <c:dispBlanksAs val="gap"/>
    <c:showDLblsOverMax val="false"/>
  </c:chart>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20"/>
    </mc:Choice>
    <mc:Fallback>
      <c:style val="20"/>
    </mc:Fallback>
  </mc:AlternateContent>
  <c:chart>
    <c:title>
      <c:tx>
        <c:rich>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r>
              <a:rPr lang="en-US" altLang="zh-CN" sz="1200"/>
              <a:t>2011-2015</a:t>
            </a:r>
            <a:r>
              <a:rPr lang="zh-CN" altLang="en-US" sz="1200"/>
              <a:t>年云和县道路货运量</a:t>
            </a:r>
            <a:endParaRPr lang="en-US" altLang="zh-CN" sz="1200"/>
          </a:p>
          <a:p>
            <a:pPr>
              <a:defRPr lang="zh-CN" sz="1800" b="1" i="0" u="none" strike="noStrike" kern="1200" baseline="0">
                <a:solidFill>
                  <a:schemeClr val="tx1"/>
                </a:solidFill>
                <a:latin typeface="+mn-lt"/>
                <a:ea typeface="+mn-ea"/>
                <a:cs typeface="+mn-cs"/>
              </a:defRPr>
            </a:pPr>
            <a:r>
              <a:rPr lang="zh-CN" altLang="en-US" sz="1200"/>
              <a:t>（万吨）</a:t>
            </a:r>
            <a:endParaRPr lang="zh-CN" altLang="en-US" sz="1200"/>
          </a:p>
        </c:rich>
      </c:tx>
      <c:layout/>
      <c:overlay val="false"/>
    </c:title>
    <c:autoTitleDeleted val="false"/>
    <c:plotArea>
      <c:layout/>
      <c:lineChart>
        <c:grouping val="standard"/>
        <c:varyColors val="false"/>
        <c:ser>
          <c:idx val="0"/>
          <c:order val="0"/>
          <c:tx>
            <c:strRef>
              <c:f>工作表1!$B$59</c:f>
              <c:strCache>
                <c:ptCount val="1"/>
                <c:pt idx="0">
                  <c:v>2011-2015年云和县道路货运量（万吨）</c:v>
                </c:pt>
              </c:strCache>
            </c:strRef>
          </c:tx>
          <c:spPr>
            <a:ln w="47625" cap="rnd" cmpd="sng" algn="ctr">
              <a:solidFill>
                <a:srgbClr val="FF6600"/>
              </a:solidFill>
              <a:prstDash val="solid"/>
              <a:round/>
            </a:ln>
          </c:spPr>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工作表1!$A$60:$A$64</c:f>
              <c:numCache>
                <c:formatCode>General</c:formatCode>
                <c:ptCount val="5"/>
                <c:pt idx="0">
                  <c:v>2011</c:v>
                </c:pt>
                <c:pt idx="1">
                  <c:v>2012</c:v>
                </c:pt>
                <c:pt idx="2">
                  <c:v>2013</c:v>
                </c:pt>
                <c:pt idx="3">
                  <c:v>2014</c:v>
                </c:pt>
                <c:pt idx="4">
                  <c:v>2015</c:v>
                </c:pt>
              </c:numCache>
            </c:numRef>
          </c:cat>
          <c:val>
            <c:numRef>
              <c:f>工作表1!$B$60:$B$64</c:f>
              <c:numCache>
                <c:formatCode>General</c:formatCode>
                <c:ptCount val="5"/>
                <c:pt idx="0">
                  <c:v>144</c:v>
                </c:pt>
                <c:pt idx="1">
                  <c:v>162</c:v>
                </c:pt>
                <c:pt idx="2">
                  <c:v>167</c:v>
                </c:pt>
                <c:pt idx="3">
                  <c:v>182</c:v>
                </c:pt>
                <c:pt idx="4">
                  <c:v>186</c:v>
                </c:pt>
              </c:numCache>
            </c:numRef>
          </c:val>
          <c:smooth val="false"/>
        </c:ser>
        <c:dLbls>
          <c:showLegendKey val="false"/>
          <c:showVal val="true"/>
          <c:showCatName val="false"/>
          <c:showSerName val="false"/>
          <c:showPercent val="false"/>
          <c:showBubbleSize val="false"/>
        </c:dLbls>
        <c:marker val="false"/>
        <c:smooth val="false"/>
        <c:axId val="267533312"/>
        <c:axId val="267551872"/>
      </c:lineChart>
      <c:catAx>
        <c:axId val="267533312"/>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51872"/>
        <c:crosses val="autoZero"/>
        <c:auto val="true"/>
        <c:lblAlgn val="ctr"/>
        <c:lblOffset val="100"/>
        <c:noMultiLvlLbl val="false"/>
      </c:catAx>
      <c:valAx>
        <c:axId val="267551872"/>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33312"/>
        <c:crosses val="autoZero"/>
        <c:crossBetween val="between"/>
      </c:valAx>
    </c:plotArea>
    <c:plotVisOnly val="true"/>
    <c:dispBlanksAs val="gap"/>
    <c:showDLblsOverMax val="false"/>
  </c:chart>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title>
      <c:tx>
        <c:rich>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r>
              <a:rPr lang="en-US" altLang="zh-CN" sz="1200"/>
              <a:t>2011-2015</a:t>
            </a:r>
            <a:r>
              <a:rPr lang="zh-CN" altLang="en-US" sz="1200"/>
              <a:t>年云和县道路货物周转量（万吨公里）</a:t>
            </a:r>
            <a:endParaRPr lang="zh-CN" altLang="en-US" sz="1200"/>
          </a:p>
        </c:rich>
      </c:tx>
      <c:layout/>
      <c:overlay val="false"/>
    </c:title>
    <c:autoTitleDeleted val="false"/>
    <c:plotArea>
      <c:layout/>
      <c:lineChart>
        <c:grouping val="standard"/>
        <c:varyColors val="false"/>
        <c:ser>
          <c:idx val="0"/>
          <c:order val="0"/>
          <c:tx>
            <c:strRef>
              <c:f>工作表1!$L$58</c:f>
              <c:strCache>
                <c:ptCount val="1"/>
                <c:pt idx="0">
                  <c:v>2011-2015年云和县道路货物周转量（万吨公里）</c:v>
                </c:pt>
              </c:strCache>
            </c:strRef>
          </c:tx>
          <c:spPr>
            <a:ln w="47625" cap="rnd" cmpd="sng" algn="ctr">
              <a:solidFill>
                <a:srgbClr val="FF6600"/>
              </a:solidFill>
              <a:prstDash val="solid"/>
              <a:round/>
            </a:ln>
          </c:spPr>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工作表1!$K$59:$K$63</c:f>
              <c:numCache>
                <c:formatCode>General</c:formatCode>
                <c:ptCount val="5"/>
                <c:pt idx="0">
                  <c:v>2011</c:v>
                </c:pt>
                <c:pt idx="1">
                  <c:v>2012</c:v>
                </c:pt>
                <c:pt idx="2">
                  <c:v>2013</c:v>
                </c:pt>
                <c:pt idx="3">
                  <c:v>2014</c:v>
                </c:pt>
                <c:pt idx="4">
                  <c:v>2015</c:v>
                </c:pt>
              </c:numCache>
            </c:numRef>
          </c:cat>
          <c:val>
            <c:numRef>
              <c:f>工作表1!$L$59:$L$63</c:f>
              <c:numCache>
                <c:formatCode>General</c:formatCode>
                <c:ptCount val="5"/>
                <c:pt idx="0">
                  <c:v>13315</c:v>
                </c:pt>
                <c:pt idx="1">
                  <c:v>15797</c:v>
                </c:pt>
                <c:pt idx="2">
                  <c:v>15904</c:v>
                </c:pt>
                <c:pt idx="3">
                  <c:v>16400</c:v>
                </c:pt>
                <c:pt idx="4">
                  <c:v>16810</c:v>
                </c:pt>
              </c:numCache>
            </c:numRef>
          </c:val>
          <c:smooth val="false"/>
        </c:ser>
        <c:dLbls>
          <c:showLegendKey val="false"/>
          <c:showVal val="true"/>
          <c:showCatName val="false"/>
          <c:showSerName val="false"/>
          <c:showPercent val="false"/>
          <c:showBubbleSize val="false"/>
        </c:dLbls>
        <c:marker val="false"/>
        <c:smooth val="false"/>
        <c:axId val="267567872"/>
        <c:axId val="267582080"/>
      </c:lineChart>
      <c:catAx>
        <c:axId val="267567872"/>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82080"/>
        <c:crosses val="autoZero"/>
        <c:auto val="true"/>
        <c:lblAlgn val="ctr"/>
        <c:lblOffset val="100"/>
        <c:noMultiLvlLbl val="false"/>
      </c:catAx>
      <c:valAx>
        <c:axId val="267582080"/>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67567872"/>
        <c:crosses val="autoZero"/>
        <c:crossBetween val="between"/>
      </c:valAx>
    </c:plotArea>
    <c:plotVisOnly val="true"/>
    <c:dispBlanksAs val="gap"/>
    <c:showDLblsOverMax val="false"/>
  </c:chart>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manualLayout>
          <c:layoutTarget val="inner"/>
          <c:xMode val="edge"/>
          <c:yMode val="edge"/>
          <c:x val="0.0530958280933548"/>
          <c:y val="0.0618900261842418"/>
          <c:w val="0.749899447813772"/>
          <c:h val="0.817440541903221"/>
        </c:manualLayout>
      </c:layout>
      <c:lineChart>
        <c:grouping val="standard"/>
        <c:varyColors val="false"/>
        <c:ser>
          <c:idx val="0"/>
          <c:order val="0"/>
          <c:tx>
            <c:strRef>
              <c:f>工作表1!$H$43</c:f>
              <c:strCache>
                <c:ptCount val="1"/>
                <c:pt idx="0">
                  <c:v>一类维修企业</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工作表1!$G$44:$G$48</c:f>
              <c:numCache>
                <c:formatCode>General</c:formatCode>
                <c:ptCount val="5"/>
                <c:pt idx="0">
                  <c:v>2011</c:v>
                </c:pt>
                <c:pt idx="1">
                  <c:v>2012</c:v>
                </c:pt>
                <c:pt idx="2">
                  <c:v>2013</c:v>
                </c:pt>
                <c:pt idx="3">
                  <c:v>2014</c:v>
                </c:pt>
                <c:pt idx="4">
                  <c:v>2015</c:v>
                </c:pt>
              </c:numCache>
            </c:numRef>
          </c:cat>
          <c:val>
            <c:numRef>
              <c:f>工作表1!$H$44:$H$48</c:f>
              <c:numCache>
                <c:formatCode>General</c:formatCode>
                <c:ptCount val="5"/>
                <c:pt idx="0">
                  <c:v>1</c:v>
                </c:pt>
                <c:pt idx="1">
                  <c:v>1</c:v>
                </c:pt>
                <c:pt idx="2">
                  <c:v>1</c:v>
                </c:pt>
                <c:pt idx="3">
                  <c:v>1</c:v>
                </c:pt>
                <c:pt idx="4">
                  <c:v>1</c:v>
                </c:pt>
              </c:numCache>
            </c:numRef>
          </c:val>
          <c:smooth val="false"/>
        </c:ser>
        <c:ser>
          <c:idx val="1"/>
          <c:order val="1"/>
          <c:tx>
            <c:strRef>
              <c:f>工作表1!$I$43</c:f>
              <c:strCache>
                <c:ptCount val="1"/>
                <c:pt idx="0">
                  <c:v>二类维修企业</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工作表1!$G$44:$G$48</c:f>
              <c:numCache>
                <c:formatCode>General</c:formatCode>
                <c:ptCount val="5"/>
                <c:pt idx="0">
                  <c:v>2011</c:v>
                </c:pt>
                <c:pt idx="1">
                  <c:v>2012</c:v>
                </c:pt>
                <c:pt idx="2">
                  <c:v>2013</c:v>
                </c:pt>
                <c:pt idx="3">
                  <c:v>2014</c:v>
                </c:pt>
                <c:pt idx="4">
                  <c:v>2015</c:v>
                </c:pt>
              </c:numCache>
            </c:numRef>
          </c:cat>
          <c:val>
            <c:numRef>
              <c:f>工作表1!$I$44:$I$48</c:f>
              <c:numCache>
                <c:formatCode>General</c:formatCode>
                <c:ptCount val="5"/>
                <c:pt idx="0">
                  <c:v>9</c:v>
                </c:pt>
                <c:pt idx="1">
                  <c:v>9</c:v>
                </c:pt>
                <c:pt idx="2">
                  <c:v>9</c:v>
                </c:pt>
                <c:pt idx="3">
                  <c:v>10</c:v>
                </c:pt>
                <c:pt idx="4">
                  <c:v>10</c:v>
                </c:pt>
              </c:numCache>
            </c:numRef>
          </c:val>
          <c:smooth val="false"/>
        </c:ser>
        <c:ser>
          <c:idx val="2"/>
          <c:order val="2"/>
          <c:tx>
            <c:strRef>
              <c:f>工作表1!$J$43</c:f>
              <c:strCache>
                <c:ptCount val="1"/>
                <c:pt idx="0">
                  <c:v>三类维修企业</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工作表1!$G$44:$G$48</c:f>
              <c:numCache>
                <c:formatCode>General</c:formatCode>
                <c:ptCount val="5"/>
                <c:pt idx="0">
                  <c:v>2011</c:v>
                </c:pt>
                <c:pt idx="1">
                  <c:v>2012</c:v>
                </c:pt>
                <c:pt idx="2">
                  <c:v>2013</c:v>
                </c:pt>
                <c:pt idx="3">
                  <c:v>2014</c:v>
                </c:pt>
                <c:pt idx="4">
                  <c:v>2015</c:v>
                </c:pt>
              </c:numCache>
            </c:numRef>
          </c:cat>
          <c:val>
            <c:numRef>
              <c:f>工作表1!$J$44:$J$48</c:f>
              <c:numCache>
                <c:formatCode>General</c:formatCode>
                <c:ptCount val="5"/>
                <c:pt idx="0">
                  <c:v>30</c:v>
                </c:pt>
                <c:pt idx="1">
                  <c:v>33</c:v>
                </c:pt>
                <c:pt idx="2">
                  <c:v>36</c:v>
                </c:pt>
                <c:pt idx="3">
                  <c:v>44</c:v>
                </c:pt>
                <c:pt idx="4">
                  <c:v>48</c:v>
                </c:pt>
              </c:numCache>
            </c:numRef>
          </c:val>
          <c:smooth val="false"/>
        </c:ser>
        <c:ser>
          <c:idx val="3"/>
          <c:order val="3"/>
          <c:tx>
            <c:strRef>
              <c:f>工作表1!$K$43</c:f>
              <c:strCache>
                <c:ptCount val="1"/>
                <c:pt idx="0">
                  <c:v>摩托车维修</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工作表1!$G$44:$G$48</c:f>
              <c:numCache>
                <c:formatCode>General</c:formatCode>
                <c:ptCount val="5"/>
                <c:pt idx="0">
                  <c:v>2011</c:v>
                </c:pt>
                <c:pt idx="1">
                  <c:v>2012</c:v>
                </c:pt>
                <c:pt idx="2">
                  <c:v>2013</c:v>
                </c:pt>
                <c:pt idx="3">
                  <c:v>2014</c:v>
                </c:pt>
                <c:pt idx="4">
                  <c:v>2015</c:v>
                </c:pt>
              </c:numCache>
            </c:numRef>
          </c:cat>
          <c:val>
            <c:numRef>
              <c:f>工作表1!$K$44:$K$48</c:f>
              <c:numCache>
                <c:formatCode>General</c:formatCode>
                <c:ptCount val="5"/>
                <c:pt idx="0">
                  <c:v>29</c:v>
                </c:pt>
                <c:pt idx="1">
                  <c:v>28</c:v>
                </c:pt>
                <c:pt idx="2">
                  <c:v>26</c:v>
                </c:pt>
                <c:pt idx="3">
                  <c:v>24</c:v>
                </c:pt>
                <c:pt idx="4">
                  <c:v>24</c:v>
                </c:pt>
              </c:numCache>
            </c:numRef>
          </c:val>
          <c:smooth val="false"/>
        </c:ser>
        <c:dLbls>
          <c:showLegendKey val="false"/>
          <c:showVal val="true"/>
          <c:showCatName val="false"/>
          <c:showSerName val="false"/>
          <c:showPercent val="false"/>
          <c:showBubbleSize val="false"/>
        </c:dLbls>
        <c:marker val="false"/>
        <c:smooth val="false"/>
        <c:axId val="283027712"/>
        <c:axId val="283041792"/>
      </c:lineChart>
      <c:catAx>
        <c:axId val="283027712"/>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3041792"/>
        <c:crosses val="autoZero"/>
        <c:auto val="true"/>
        <c:lblAlgn val="ctr"/>
        <c:lblOffset val="100"/>
        <c:noMultiLvlLbl val="false"/>
      </c:catAx>
      <c:valAx>
        <c:axId val="283041792"/>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3027712"/>
        <c:crosses val="autoZero"/>
        <c:crossBetween val="between"/>
      </c:valAx>
    </c:plotArea>
    <c:legend>
      <c:legendPos val="r"/>
      <c:layout>
        <c:manualLayout>
          <c:xMode val="edge"/>
          <c:yMode val="edge"/>
          <c:x val="0.776291793313071"/>
          <c:y val="0.291443569553806"/>
          <c:w val="0.22370820668693"/>
          <c:h val="0.438970784389657"/>
        </c:manualLayout>
      </c:layout>
      <c:overlay val="fals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gap"/>
    <c:showDLblsOverMax val="false"/>
  </c:chart>
  <c:txPr>
    <a:bodyPr/>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18"/>
    </mc:Choice>
    <mc:Fallback>
      <c:style val="18"/>
    </mc:Fallback>
  </mc:AlternateContent>
  <c:chart>
    <c:autoTitleDeleted val="true"/>
    <c:plotArea>
      <c:layout/>
      <c:lineChart>
        <c:grouping val="standard"/>
        <c:varyColors val="false"/>
        <c:ser>
          <c:idx val="0"/>
          <c:order val="0"/>
          <c:tx>
            <c:strRef>
              <c:f>工作表1!$B$1</c:f>
              <c:strCache>
                <c:ptCount val="1"/>
                <c:pt idx="0">
                  <c:v>2010-2015年云和县农村客运行政村通村率变化趋势图</c:v>
                </c:pt>
              </c:strCache>
            </c:strRef>
          </c:tx>
          <c:spPr>
            <a:ln w="47625" cap="rnd" cmpd="sng" algn="ctr">
              <a:solidFill>
                <a:srgbClr val="FF0000"/>
              </a:solidFill>
              <a:prstDash val="solid"/>
              <a:round/>
            </a:ln>
          </c:spPr>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工作表1!$A$2:$A$8</c:f>
              <c:numCache>
                <c:formatCode>General</c:formatCode>
                <c:ptCount val="7"/>
                <c:pt idx="0">
                  <c:v>2010</c:v>
                </c:pt>
                <c:pt idx="1">
                  <c:v>2011</c:v>
                </c:pt>
                <c:pt idx="2">
                  <c:v>2012</c:v>
                </c:pt>
                <c:pt idx="3">
                  <c:v>2013</c:v>
                </c:pt>
                <c:pt idx="4">
                  <c:v>2014</c:v>
                </c:pt>
                <c:pt idx="5">
                  <c:v>2015</c:v>
                </c:pt>
              </c:numCache>
            </c:numRef>
          </c:cat>
          <c:val>
            <c:numRef>
              <c:f>工作表1!$B$2:$B$8</c:f>
              <c:numCache>
                <c:formatCode>General</c:formatCode>
                <c:ptCount val="7"/>
                <c:pt idx="0">
                  <c:v>75.88</c:v>
                </c:pt>
                <c:pt idx="1">
                  <c:v>80.47</c:v>
                </c:pt>
                <c:pt idx="2">
                  <c:v>81.55</c:v>
                </c:pt>
                <c:pt idx="3">
                  <c:v>82.74</c:v>
                </c:pt>
                <c:pt idx="4">
                  <c:v>83.93</c:v>
                </c:pt>
                <c:pt idx="5">
                  <c:v>87.5</c:v>
                </c:pt>
              </c:numCache>
            </c:numRef>
          </c:val>
          <c:smooth val="false"/>
        </c:ser>
        <c:ser>
          <c:idx val="1"/>
          <c:order val="1"/>
          <c:tx>
            <c:strRef>
              <c:f>工作表1!$C$1</c:f>
              <c:strCache>
                <c:ptCount val="1"/>
                <c:pt idx="0">
                  <c:v/>
                </c:pt>
              </c:strCache>
            </c:strRef>
          </c:tx>
          <c:marker>
            <c:symbol val="none"/>
          </c:marker>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numRef>
              <c:f>工作表1!$A$2:$A$8</c:f>
              <c:numCache>
                <c:formatCode>General</c:formatCode>
                <c:ptCount val="7"/>
                <c:pt idx="0">
                  <c:v>2010</c:v>
                </c:pt>
                <c:pt idx="1">
                  <c:v>2011</c:v>
                </c:pt>
                <c:pt idx="2">
                  <c:v>2012</c:v>
                </c:pt>
                <c:pt idx="3">
                  <c:v>2013</c:v>
                </c:pt>
                <c:pt idx="4">
                  <c:v>2014</c:v>
                </c:pt>
                <c:pt idx="5">
                  <c:v>2015</c:v>
                </c:pt>
              </c:numCache>
            </c:numRef>
          </c:cat>
          <c:val>
            <c:numRef>
              <c:f>工作表1!$C$2:$C$8</c:f>
              <c:numCache>
                <c:formatCode>General</c:formatCode>
                <c:ptCount val="7"/>
              </c:numCache>
            </c:numRef>
          </c:val>
          <c:smooth val="false"/>
        </c:ser>
        <c:dLbls>
          <c:showLegendKey val="false"/>
          <c:showVal val="true"/>
          <c:showCatName val="false"/>
          <c:showSerName val="false"/>
          <c:showPercent val="false"/>
          <c:showBubbleSize val="false"/>
        </c:dLbls>
        <c:marker val="false"/>
        <c:smooth val="false"/>
        <c:axId val="283075712"/>
        <c:axId val="283077248"/>
      </c:lineChart>
      <c:catAx>
        <c:axId val="283075712"/>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3077248"/>
        <c:crosses val="autoZero"/>
        <c:auto val="true"/>
        <c:lblAlgn val="ctr"/>
        <c:lblOffset val="100"/>
        <c:noMultiLvlLbl val="false"/>
      </c:catAx>
      <c:valAx>
        <c:axId val="283077248"/>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283075712"/>
        <c:crosses val="autoZero"/>
        <c:crossBetween val="between"/>
      </c:valAx>
    </c:plotArea>
    <c:plotVisOnly val="true"/>
    <c:dispBlanksAs val="gap"/>
    <c:showDLblsOverMax val="false"/>
  </c:chart>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0"/>
          <c:order val="0"/>
          <c:tx>
            <c:strRef>
              <c:f>Sheet2!$J$1</c:f>
              <c:strCache>
                <c:ptCount val="1"/>
                <c:pt idx="0">
                  <c:v>客运量</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true"/>
          </c:dLbls>
          <c:cat>
            <c:numRef>
              <c:f>Sheet2!$I$2:$I$6</c:f>
              <c:numCache>
                <c:formatCode>General</c:formatCode>
                <c:ptCount val="5"/>
                <c:pt idx="0">
                  <c:v>2016</c:v>
                </c:pt>
                <c:pt idx="1">
                  <c:v>2017</c:v>
                </c:pt>
                <c:pt idx="2">
                  <c:v>2018</c:v>
                </c:pt>
                <c:pt idx="3">
                  <c:v>2019</c:v>
                </c:pt>
                <c:pt idx="4">
                  <c:v>2020</c:v>
                </c:pt>
              </c:numCache>
            </c:numRef>
          </c:cat>
          <c:val>
            <c:numRef>
              <c:f>Sheet2!$J$2:$J$6</c:f>
              <c:numCache>
                <c:formatCode>0_ </c:formatCode>
                <c:ptCount val="5"/>
                <c:pt idx="0">
                  <c:v>235.593</c:v>
                </c:pt>
                <c:pt idx="1">
                  <c:v>243.789</c:v>
                </c:pt>
                <c:pt idx="2">
                  <c:v>254.047</c:v>
                </c:pt>
                <c:pt idx="3">
                  <c:v>266.367</c:v>
                </c:pt>
                <c:pt idx="4">
                  <c:v>280.749</c:v>
                </c:pt>
              </c:numCache>
            </c:numRef>
          </c:val>
          <c:smooth val="false"/>
        </c:ser>
        <c:dLbls>
          <c:showLegendKey val="false"/>
          <c:showVal val="false"/>
          <c:showCatName val="false"/>
          <c:showSerName val="false"/>
          <c:showPercent val="false"/>
          <c:showBubbleSize val="false"/>
        </c:dLbls>
        <c:hiLowLines>
          <c:spPr>
            <a:ln w="9525" cap="flat" cmpd="sng" algn="ctr">
              <a:solidFill>
                <a:schemeClr val="tx1">
                  <a:lumMod val="50000"/>
                  <a:lumOff val="50000"/>
                </a:schemeClr>
              </a:solidFill>
              <a:prstDash val="solid"/>
              <a:round/>
            </a:ln>
            <a:effectLst/>
          </c:spPr>
        </c:hiLowLines>
        <c:marker val="true"/>
        <c:smooth val="false"/>
        <c:axId val="283097344"/>
        <c:axId val="284307456"/>
      </c:lineChart>
      <c:catAx>
        <c:axId val="283097344"/>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284307456"/>
        <c:crosses val="autoZero"/>
        <c:auto val="true"/>
        <c:lblAlgn val="ctr"/>
        <c:lblOffset val="100"/>
        <c:noMultiLvlLbl val="false"/>
      </c:catAx>
      <c:valAx>
        <c:axId val="284307456"/>
        <c:scaling>
          <c:orientation val="minMax"/>
        </c:scaling>
        <c:delete val="false"/>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true"/>
              <a:lstStyle/>
              <a:p>
                <a:pPr>
                  <a:defRPr lang="zh-CN" sz="900" b="0" i="0" u="none" strike="noStrike" kern="1200" cap="all" baseline="0">
                    <a:solidFill>
                      <a:schemeClr val="tx1">
                        <a:lumMod val="65000"/>
                        <a:lumOff val="35000"/>
                      </a:schemeClr>
                    </a:solidFill>
                    <a:latin typeface="+mn-lt"/>
                    <a:ea typeface="+mn-ea"/>
                    <a:cs typeface="+mn-cs"/>
                  </a:defRPr>
                </a:pPr>
                <a:r>
                  <a:rPr lang="zh-CN" altLang="en-US"/>
                  <a:t>客运量（万人）</a:t>
                </a:r>
                <a:endParaRPr lang="zh-CN" altLang="en-US"/>
              </a:p>
            </c:rich>
          </c:tx>
          <c:layout/>
          <c:overlay val="false"/>
          <c:spPr>
            <a:noFill/>
            <a:ln>
              <a:noFill/>
            </a:ln>
            <a:effectLst/>
          </c:spPr>
        </c:title>
        <c:numFmt formatCode="0_ " sourceLinked="true"/>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83097344"/>
        <c:crosses val="autoZero"/>
        <c:crossBetween val="between"/>
      </c:valAx>
      <c:spPr>
        <a:noFill/>
        <a:ln>
          <a:noFill/>
        </a:ln>
        <a:effectLst/>
      </c:spPr>
    </c:plotArea>
    <c:plotVisOnly val="true"/>
    <c:dispBlanksAs val="gap"/>
    <c:showDLblsOverMax val="false"/>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0"/>
          <c:order val="0"/>
          <c:tx>
            <c:strRef>
              <c:f>Sheet2!$I$2</c:f>
              <c:strCache>
                <c:ptCount val="1"/>
                <c:pt idx="0">
                  <c:v>客运周转量</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true"/>
          </c:dLbls>
          <c:cat>
            <c:numRef>
              <c:f>Sheet2!$H$3:$H$7</c:f>
              <c:numCache>
                <c:formatCode>General</c:formatCode>
                <c:ptCount val="5"/>
                <c:pt idx="0">
                  <c:v>2016</c:v>
                </c:pt>
                <c:pt idx="1">
                  <c:v>2017</c:v>
                </c:pt>
                <c:pt idx="2">
                  <c:v>2018</c:v>
                </c:pt>
                <c:pt idx="3">
                  <c:v>2019</c:v>
                </c:pt>
                <c:pt idx="4">
                  <c:v>2020</c:v>
                </c:pt>
              </c:numCache>
            </c:numRef>
          </c:cat>
          <c:val>
            <c:numRef>
              <c:f>Sheet2!$I$3:$I$7</c:f>
              <c:numCache>
                <c:formatCode>0_ </c:formatCode>
                <c:ptCount val="5"/>
                <c:pt idx="0">
                  <c:v>7335.712</c:v>
                </c:pt>
                <c:pt idx="1">
                  <c:v>7581.134</c:v>
                </c:pt>
                <c:pt idx="2">
                  <c:v>7905.832</c:v>
                </c:pt>
                <c:pt idx="3">
                  <c:v>8309.80599999992</c:v>
                </c:pt>
                <c:pt idx="4">
                  <c:v>8793.05599999992</c:v>
                </c:pt>
              </c:numCache>
            </c:numRef>
          </c:val>
          <c:smooth val="false"/>
        </c:ser>
        <c:dLbls>
          <c:showLegendKey val="false"/>
          <c:showVal val="false"/>
          <c:showCatName val="false"/>
          <c:showSerName val="false"/>
          <c:showPercent val="false"/>
          <c:showBubbleSize val="false"/>
        </c:dLbls>
        <c:hiLowLines>
          <c:spPr>
            <a:ln w="9525" cap="flat" cmpd="sng" algn="ctr">
              <a:solidFill>
                <a:schemeClr val="tx1">
                  <a:lumMod val="50000"/>
                  <a:lumOff val="50000"/>
                </a:schemeClr>
              </a:solidFill>
              <a:prstDash val="solid"/>
              <a:round/>
            </a:ln>
            <a:effectLst/>
          </c:spPr>
        </c:hiLowLines>
        <c:marker val="true"/>
        <c:smooth val="false"/>
        <c:axId val="284336128"/>
        <c:axId val="284337664"/>
      </c:lineChart>
      <c:catAx>
        <c:axId val="284336128"/>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284337664"/>
        <c:crosses val="autoZero"/>
        <c:auto val="true"/>
        <c:lblAlgn val="ctr"/>
        <c:lblOffset val="100"/>
        <c:noMultiLvlLbl val="false"/>
      </c:catAx>
      <c:valAx>
        <c:axId val="284337664"/>
        <c:scaling>
          <c:orientation val="minMax"/>
        </c:scaling>
        <c:delete val="false"/>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true"/>
              <a:lstStyle/>
              <a:p>
                <a:pPr>
                  <a:defRPr lang="zh-CN" sz="900" b="0" i="0" u="none" strike="noStrike" kern="1200" cap="all" baseline="0">
                    <a:solidFill>
                      <a:schemeClr val="tx1">
                        <a:lumMod val="65000"/>
                        <a:lumOff val="35000"/>
                      </a:schemeClr>
                    </a:solidFill>
                    <a:latin typeface="+mn-lt"/>
                    <a:ea typeface="+mn-ea"/>
                    <a:cs typeface="+mn-cs"/>
                  </a:defRPr>
                </a:pPr>
                <a:r>
                  <a:rPr lang="zh-CN" altLang="en-US"/>
                  <a:t>客运周转量（万人公里）</a:t>
                </a:r>
                <a:endParaRPr lang="zh-CN" altLang="en-US"/>
              </a:p>
            </c:rich>
          </c:tx>
          <c:layout/>
          <c:overlay val="false"/>
          <c:spPr>
            <a:noFill/>
            <a:ln>
              <a:noFill/>
            </a:ln>
            <a:effectLst/>
          </c:spPr>
        </c:title>
        <c:numFmt formatCode="0_ " sourceLinked="true"/>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84336128"/>
        <c:crosses val="autoZero"/>
        <c:crossBetween val="between"/>
      </c:valAx>
      <c:spPr>
        <a:noFill/>
        <a:ln>
          <a:noFill/>
        </a:ln>
        <a:effectLst/>
      </c:spPr>
    </c:plotArea>
    <c:plotVisOnly val="true"/>
    <c:dispBlanksAs val="gap"/>
    <c:showDLblsOverMax val="false"/>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cked"/>
        <c:varyColors val="false"/>
        <c:ser>
          <c:idx val="0"/>
          <c:order val="0"/>
          <c:tx>
            <c:strRef>
              <c:f>Sheet1!$G$3</c:f>
              <c:strCache>
                <c:ptCount val="1"/>
                <c:pt idx="0">
                  <c:v>机动车数量</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true"/>
          </c:dLbls>
          <c:cat>
            <c:numRef>
              <c:f>Sheet1!$H$2:$L$2</c:f>
              <c:numCache>
                <c:formatCode>General</c:formatCode>
                <c:ptCount val="5"/>
                <c:pt idx="0">
                  <c:v>2016</c:v>
                </c:pt>
                <c:pt idx="1">
                  <c:v>2017</c:v>
                </c:pt>
                <c:pt idx="2">
                  <c:v>2018</c:v>
                </c:pt>
                <c:pt idx="3">
                  <c:v>2019</c:v>
                </c:pt>
                <c:pt idx="4">
                  <c:v>2020</c:v>
                </c:pt>
              </c:numCache>
            </c:numRef>
          </c:cat>
          <c:val>
            <c:numRef>
              <c:f>Sheet1!$H$3:$L$3</c:f>
              <c:numCache>
                <c:formatCode>General</c:formatCode>
                <c:ptCount val="5"/>
                <c:pt idx="0">
                  <c:v>16755</c:v>
                </c:pt>
                <c:pt idx="1">
                  <c:v>18333</c:v>
                </c:pt>
                <c:pt idx="2">
                  <c:v>19911</c:v>
                </c:pt>
                <c:pt idx="3">
                  <c:v>21490</c:v>
                </c:pt>
                <c:pt idx="4">
                  <c:v>23068</c:v>
                </c:pt>
              </c:numCache>
            </c:numRef>
          </c:val>
          <c:smooth val="false"/>
        </c:ser>
        <c:dLbls>
          <c:showLegendKey val="false"/>
          <c:showVal val="false"/>
          <c:showCatName val="false"/>
          <c:showSerName val="false"/>
          <c:showPercent val="false"/>
          <c:showBubbleSize val="false"/>
        </c:dLbls>
        <c:marker val="true"/>
        <c:smooth val="false"/>
        <c:axId val="284361472"/>
        <c:axId val="284363392"/>
      </c:lineChart>
      <c:catAx>
        <c:axId val="284361472"/>
        <c:scaling>
          <c:orientation val="minMax"/>
        </c:scaling>
        <c:delete val="false"/>
        <c:axPos val="b"/>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800" b="0" i="0" u="none" strike="noStrike" kern="1200" cap="all" spc="120" normalizeH="0" baseline="0">
                <a:solidFill>
                  <a:schemeClr val="tx1"/>
                </a:solidFill>
                <a:latin typeface="+mn-lt"/>
                <a:ea typeface="+mn-ea"/>
                <a:cs typeface="+mn-cs"/>
              </a:defRPr>
            </a:pPr>
          </a:p>
        </c:txPr>
        <c:crossAx val="284363392"/>
        <c:crosses val="autoZero"/>
        <c:auto val="true"/>
        <c:lblAlgn val="ctr"/>
        <c:lblOffset val="100"/>
        <c:noMultiLvlLbl val="false"/>
      </c:catAx>
      <c:valAx>
        <c:axId val="284363392"/>
        <c:scaling>
          <c:orientation val="minMax"/>
        </c:scaling>
        <c:delete val="false"/>
        <c:axPos val="l"/>
        <c:title>
          <c:tx>
            <c:rich>
              <a:bodyPr rot="-5400000" spcFirstLastPara="1" vertOverflow="ellipsis" vert="horz" wrap="square" anchor="ctr" anchorCtr="true"/>
              <a:lstStyle/>
              <a:p>
                <a:pPr>
                  <a:defRPr lang="zh-CN" sz="900" b="0" i="0" u="none" strike="noStrike" kern="1200" cap="all" baseline="0">
                    <a:solidFill>
                      <a:schemeClr val="tx1"/>
                    </a:solidFill>
                    <a:latin typeface="+mn-lt"/>
                    <a:ea typeface="+mn-ea"/>
                    <a:cs typeface="+mn-cs"/>
                  </a:defRPr>
                </a:pPr>
                <a:r>
                  <a:rPr lang="zh-CN" altLang="en-US" sz="1200"/>
                  <a:t>机动车数量（辆）</a:t>
                </a:r>
                <a:endParaRPr lang="zh-CN" altLang="en-US" sz="1200"/>
              </a:p>
            </c:rich>
          </c:tx>
          <c:layout/>
          <c:overlay val="false"/>
          <c:spPr>
            <a:noFill/>
            <a:ln>
              <a:noFill/>
            </a:ln>
            <a:effectLst/>
          </c:spPr>
        </c:title>
        <c:numFmt formatCode="General" sourceLinked="true"/>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solidFill>
                <a:latin typeface="+mn-lt"/>
                <a:ea typeface="+mn-ea"/>
                <a:cs typeface="+mn-cs"/>
              </a:defRPr>
            </a:pPr>
          </a:p>
        </c:txPr>
        <c:crossAx val="284361472"/>
        <c:crosses val="autoZero"/>
        <c:crossBetween val="between"/>
      </c:valAx>
      <c:spPr>
        <a:noFill/>
        <a:ln>
          <a:noFill/>
        </a:ln>
        <a:effectLst/>
      </c:spPr>
    </c:plotArea>
    <c:plotVisOnly val="true"/>
    <c:dispBlanksAs val="zero"/>
    <c:showDLblsOverMax val="false"/>
  </c:chart>
  <c:spPr>
    <a:solidFill>
      <a:schemeClr val="lt1"/>
    </a:solidFill>
    <a:ln w="9525" cap="flat" cmpd="sng" algn="ctr">
      <a:solidFill>
        <a:schemeClr val="tx1">
          <a:lumMod val="15000"/>
          <a:lumOff val="85000"/>
        </a:schemeClr>
      </a:solidFill>
      <a:prstDash val="solid"/>
      <a:round/>
    </a:ln>
    <a:effectLst/>
  </c:spPr>
  <c:txPr>
    <a:bodyPr/>
    <a:lstStyle/>
    <a:p>
      <a:pPr>
        <a:defRPr lang="zh-CN">
          <a:solidFill>
            <a:schemeClr val="tx1"/>
          </a:solidFill>
        </a:defRPr>
      </a:pPr>
    </a:p>
  </c:txPr>
  <c:externalData r:id="rId1">
    <c:autoUpdate val="false"/>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6743</Words>
  <Characters>38436</Characters>
  <Lines>320</Lines>
  <Paragraphs>90</Paragraphs>
  <TotalTime>0</TotalTime>
  <ScaleCrop>false</ScaleCrop>
  <LinksUpToDate>false</LinksUpToDate>
  <CharactersWithSpaces>45089</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2016-10-17T20:12:00Z</dcterms:created>
  <dc:creator>yu zheng</dc:creator>
  <cp:lastModifiedBy>李苏宁</cp:lastModifiedBy>
  <cp:lastPrinted>2016-05-11T12:30:00Z</cp:lastPrinted>
  <dcterms:modified xsi:type="dcterms:W3CDTF">2022-08-19T15:10:28Z</dcterms:modified>
  <dc:title>云和县道路运输“十三五”发展规划</dc:title>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