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after="156" w:line="360" w:lineRule="auto"/>
        <w:ind w:left="2100" w:hanging="2100"/>
        <w:jc w:val="center"/>
        <w:rPr>
          <w:rFonts w:ascii="仿宋" w:hAnsi="仿宋" w:eastAsia="仿宋" w:cs="Times New Roman"/>
          <w:bCs/>
          <w:sz w:val="24"/>
          <w:szCs w:val="24"/>
        </w:rPr>
      </w:pPr>
      <w:bookmarkStart w:id="0" w:name="_Hlk86070110"/>
      <w:bookmarkEnd w:id="0"/>
      <w:bookmarkStart w:id="1" w:name="_Toc227916153"/>
      <w:bookmarkStart w:id="2" w:name="_Toc227147026"/>
    </w:p>
    <w:p>
      <w:pPr>
        <w:adjustRightInd w:val="0"/>
        <w:snapToGrid w:val="0"/>
        <w:spacing w:after="156" w:line="360" w:lineRule="auto"/>
        <w:ind w:firstLine="200" w:firstLineChars="200"/>
        <w:rPr>
          <w:rFonts w:ascii="仿宋" w:hAnsi="仿宋" w:eastAsia="仿宋" w:cs="Times New Roman"/>
          <w:bCs/>
          <w:sz w:val="10"/>
          <w:szCs w:val="10"/>
        </w:rPr>
      </w:pPr>
    </w:p>
    <w:p>
      <w:pPr>
        <w:jc w:val="center"/>
        <w:rPr>
          <w:rFonts w:ascii="仿宋" w:hAnsi="仿宋" w:eastAsia="仿宋" w:cs="Times New Roman"/>
          <w:bCs/>
          <w:sz w:val="52"/>
          <w:szCs w:val="52"/>
        </w:rPr>
      </w:pPr>
    </w:p>
    <w:p>
      <w:pPr>
        <w:jc w:val="center"/>
        <w:rPr>
          <w:rFonts w:ascii="黑体" w:hAnsi="黑体" w:eastAsia="黑体" w:cs="Times New Roman"/>
          <w:bCs/>
          <w:sz w:val="48"/>
          <w:szCs w:val="48"/>
        </w:rPr>
      </w:pPr>
      <w:bookmarkStart w:id="73" w:name="_GoBack"/>
      <w:r>
        <w:rPr>
          <w:rFonts w:hint="eastAsia" w:ascii="黑体" w:hAnsi="黑体" w:eastAsia="黑体" w:cs="Times New Roman"/>
          <w:bCs/>
          <w:sz w:val="48"/>
          <w:szCs w:val="48"/>
        </w:rPr>
        <w:t>云和县高标准农田建设“十四五”规划</w:t>
      </w:r>
    </w:p>
    <w:bookmarkEnd w:id="73"/>
    <w:p>
      <w:pPr>
        <w:spacing w:after="156" w:afterLines="50"/>
        <w:jc w:val="center"/>
        <w:rPr>
          <w:rFonts w:ascii="黑体" w:hAnsi="黑体" w:eastAsia="黑体" w:cs="Times New Roman"/>
          <w:bCs/>
          <w:sz w:val="32"/>
          <w:szCs w:val="32"/>
        </w:rPr>
      </w:pPr>
    </w:p>
    <w:p>
      <w:pPr>
        <w:spacing w:after="156" w:afterLines="50"/>
        <w:jc w:val="center"/>
        <w:rPr>
          <w:rFonts w:ascii="黑体" w:hAnsi="黑体" w:eastAsia="黑体" w:cs="Times New Roman"/>
          <w:bCs/>
          <w:sz w:val="60"/>
          <w:szCs w:val="60"/>
        </w:rPr>
      </w:pPr>
    </w:p>
    <w:p>
      <w:pPr>
        <w:spacing w:after="156" w:afterLines="50"/>
        <w:jc w:val="center"/>
        <w:rPr>
          <w:rFonts w:ascii="黑体" w:hAnsi="黑体" w:eastAsia="黑体" w:cs="Times New Roman"/>
          <w:bCs/>
          <w:sz w:val="60"/>
          <w:szCs w:val="60"/>
        </w:rPr>
      </w:pPr>
    </w:p>
    <w:p>
      <w:pPr>
        <w:spacing w:after="156" w:afterLines="50"/>
        <w:jc w:val="center"/>
        <w:rPr>
          <w:rFonts w:ascii="黑体" w:hAnsi="黑体" w:eastAsia="黑体" w:cs="Times New Roman"/>
          <w:bCs/>
          <w:sz w:val="60"/>
          <w:szCs w:val="60"/>
        </w:rPr>
      </w:pPr>
    </w:p>
    <w:p>
      <w:pPr>
        <w:spacing w:after="156" w:afterLines="50"/>
        <w:jc w:val="center"/>
        <w:rPr>
          <w:rFonts w:ascii="黑体" w:hAnsi="黑体" w:eastAsia="黑体" w:cs="Times New Roman"/>
          <w:bCs/>
          <w:sz w:val="60"/>
          <w:szCs w:val="60"/>
        </w:rPr>
      </w:pPr>
    </w:p>
    <w:p>
      <w:pPr>
        <w:spacing w:after="156" w:afterLines="50"/>
        <w:jc w:val="center"/>
        <w:rPr>
          <w:rFonts w:ascii="黑体" w:hAnsi="黑体" w:eastAsia="黑体" w:cs="Times New Roman"/>
          <w:bCs/>
          <w:sz w:val="60"/>
          <w:szCs w:val="60"/>
        </w:rPr>
      </w:pPr>
    </w:p>
    <w:p>
      <w:pPr>
        <w:spacing w:after="156" w:afterLines="50"/>
        <w:jc w:val="center"/>
        <w:rPr>
          <w:rFonts w:ascii="黑体" w:hAnsi="黑体" w:eastAsia="黑体" w:cs="Times New Roman"/>
          <w:bCs/>
          <w:sz w:val="60"/>
          <w:szCs w:val="60"/>
        </w:rPr>
      </w:pPr>
    </w:p>
    <w:p>
      <w:pPr>
        <w:spacing w:after="156" w:afterLines="50"/>
        <w:jc w:val="center"/>
        <w:rPr>
          <w:rFonts w:ascii="黑体" w:hAnsi="黑体" w:eastAsia="黑体" w:cs="Times New Roman"/>
          <w:bCs/>
          <w:sz w:val="60"/>
          <w:szCs w:val="60"/>
        </w:rPr>
      </w:pPr>
    </w:p>
    <w:p>
      <w:pPr>
        <w:spacing w:after="156" w:afterLines="50"/>
        <w:jc w:val="center"/>
        <w:rPr>
          <w:rFonts w:ascii="黑体" w:hAnsi="黑体" w:eastAsia="黑体" w:cs="Times New Roman"/>
          <w:bCs/>
          <w:sz w:val="32"/>
          <w:szCs w:val="32"/>
        </w:rPr>
      </w:pPr>
      <w:r>
        <w:rPr>
          <w:rFonts w:hint="eastAsia" w:ascii="黑体" w:hAnsi="黑体" w:eastAsia="黑体" w:cs="Times New Roman"/>
          <w:bCs/>
          <w:sz w:val="32"/>
          <w:szCs w:val="32"/>
        </w:rPr>
        <w:t>云和县农业农村局</w:t>
      </w:r>
    </w:p>
    <w:p>
      <w:pPr>
        <w:adjustRightInd w:val="0"/>
        <w:snapToGrid w:val="0"/>
        <w:spacing w:line="360" w:lineRule="auto"/>
        <w:jc w:val="center"/>
        <w:rPr>
          <w:rFonts w:ascii="黑体" w:hAnsi="黑体" w:eastAsia="黑体" w:cs="Times New Roman"/>
          <w:bCs/>
          <w:sz w:val="32"/>
          <w:szCs w:val="32"/>
        </w:rPr>
      </w:pPr>
      <w:r>
        <w:rPr>
          <w:rFonts w:ascii="黑体" w:hAnsi="黑体" w:eastAsia="黑体" w:cs="Times New Roman"/>
          <w:bCs/>
          <w:sz w:val="32"/>
          <w:szCs w:val="32"/>
        </w:rPr>
        <w:t>二</w:t>
      </w:r>
      <w:r>
        <w:rPr>
          <w:rFonts w:hint="eastAsia" w:ascii="黑体" w:hAnsi="黑体" w:eastAsia="黑体" w:cs="Times New Roman"/>
          <w:bCs/>
          <w:sz w:val="32"/>
          <w:szCs w:val="32"/>
        </w:rPr>
        <w:t>〇二二</w:t>
      </w:r>
      <w:r>
        <w:rPr>
          <w:rFonts w:ascii="黑体" w:hAnsi="黑体" w:eastAsia="黑体" w:cs="Times New Roman"/>
          <w:bCs/>
          <w:sz w:val="32"/>
          <w:szCs w:val="32"/>
        </w:rPr>
        <w:t>年</w:t>
      </w:r>
      <w:r>
        <w:rPr>
          <w:rFonts w:hint="eastAsia" w:ascii="黑体" w:hAnsi="黑体" w:eastAsia="黑体" w:cs="Times New Roman"/>
          <w:bCs/>
          <w:sz w:val="32"/>
          <w:szCs w:val="32"/>
        </w:rPr>
        <w:t>三</w:t>
      </w:r>
      <w:r>
        <w:rPr>
          <w:rFonts w:ascii="黑体" w:hAnsi="黑体" w:eastAsia="黑体" w:cs="Times New Roman"/>
          <w:bCs/>
          <w:sz w:val="32"/>
          <w:szCs w:val="32"/>
        </w:rPr>
        <w:t>月</w:t>
      </w:r>
    </w:p>
    <w:p>
      <w:pPr>
        <w:rPr>
          <w:rFonts w:ascii="仿宋" w:hAnsi="仿宋" w:eastAsia="仿宋" w:cs="Times New Roman"/>
          <w:bCs/>
          <w:szCs w:val="24"/>
        </w:rPr>
      </w:pPr>
    </w:p>
    <w:p>
      <w:pPr>
        <w:widowControl/>
        <w:jc w:val="left"/>
        <w:rPr>
          <w:rFonts w:ascii="仿宋" w:hAnsi="仿宋" w:eastAsia="仿宋" w:cs="Times New Roman"/>
          <w:bCs/>
          <w:szCs w:val="24"/>
        </w:rPr>
      </w:pPr>
      <w:r>
        <w:rPr>
          <w:rFonts w:ascii="仿宋" w:hAnsi="仿宋" w:eastAsia="仿宋" w:cs="Times New Roman"/>
          <w:bCs/>
          <w:szCs w:val="24"/>
        </w:rPr>
        <w:br w:type="page"/>
      </w:r>
    </w:p>
    <w:p>
      <w:pPr>
        <w:rPr>
          <w:rFonts w:ascii="仿宋" w:hAnsi="仿宋" w:eastAsia="仿宋" w:cs="Times New Roman"/>
          <w:bCs/>
        </w:rPr>
      </w:pPr>
    </w:p>
    <w:p>
      <w:pPr>
        <w:rPr>
          <w:rFonts w:ascii="仿宋" w:hAnsi="仿宋" w:eastAsia="仿宋" w:cs="Times New Roman"/>
          <w:bCs/>
        </w:rPr>
      </w:pPr>
    </w:p>
    <w:p>
      <w:pPr>
        <w:rPr>
          <w:rFonts w:ascii="仿宋" w:hAnsi="仿宋" w:eastAsia="仿宋" w:cs="Times New Roman"/>
          <w:bCs/>
        </w:rPr>
      </w:pPr>
      <w:r>
        <w:rPr>
          <w:rFonts w:ascii="仿宋" w:hAnsi="仿宋" w:eastAsia="仿宋" w:cs="Times New Roman"/>
          <w:bCs/>
        </w:rPr>
        <w:drawing>
          <wp:anchor distT="0" distB="0" distL="114300" distR="114300" simplePos="0" relativeHeight="251659264" behindDoc="0" locked="0" layoutInCell="1" allowOverlap="1">
            <wp:simplePos x="0" y="0"/>
            <wp:positionH relativeFrom="column">
              <wp:posOffset>2887980</wp:posOffset>
            </wp:positionH>
            <wp:positionV relativeFrom="paragraph">
              <wp:posOffset>875665</wp:posOffset>
            </wp:positionV>
            <wp:extent cx="2702560" cy="1800225"/>
            <wp:effectExtent l="0" t="0" r="0" b="0"/>
            <wp:wrapTopAndBottom/>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l="11188" t="8691" r="204" b="7720"/>
                    <a:stretch>
                      <a:fillRect/>
                    </a:stretch>
                  </pic:blipFill>
                  <pic:spPr>
                    <a:xfrm>
                      <a:off x="0" y="0"/>
                      <a:ext cx="2702560" cy="1800225"/>
                    </a:xfrm>
                    <a:prstGeom prst="rect">
                      <a:avLst/>
                    </a:prstGeom>
                    <a:noFill/>
                    <a:ln>
                      <a:noFill/>
                    </a:ln>
                  </pic:spPr>
                </pic:pic>
              </a:graphicData>
            </a:graphic>
          </wp:anchor>
        </w:drawing>
      </w:r>
      <w:r>
        <w:rPr>
          <w:rFonts w:ascii="仿宋" w:hAnsi="仿宋" w:eastAsia="仿宋" w:cs="Times New Roman"/>
          <w:bCs/>
        </w:rPr>
        <w:drawing>
          <wp:anchor distT="0" distB="0" distL="114300" distR="114300" simplePos="0" relativeHeight="251660288" behindDoc="0" locked="0" layoutInCell="1" allowOverlap="1">
            <wp:simplePos x="0" y="0"/>
            <wp:positionH relativeFrom="column">
              <wp:posOffset>483235</wp:posOffset>
            </wp:positionH>
            <wp:positionV relativeFrom="paragraph">
              <wp:posOffset>370840</wp:posOffset>
            </wp:positionV>
            <wp:extent cx="2017395" cy="2840355"/>
            <wp:effectExtent l="419100" t="0" r="401955" b="0"/>
            <wp:wrapTopAndBottom/>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rot="5400000">
                      <a:off x="0" y="0"/>
                      <a:ext cx="2017395" cy="2840355"/>
                    </a:xfrm>
                    <a:prstGeom prst="rect">
                      <a:avLst/>
                    </a:prstGeom>
                    <a:noFill/>
                    <a:ln>
                      <a:noFill/>
                    </a:ln>
                  </pic:spPr>
                </pic:pic>
              </a:graphicData>
            </a:graphic>
          </wp:anchor>
        </w:drawing>
      </w:r>
    </w:p>
    <w:p>
      <w:pPr>
        <w:ind w:firstLine="555"/>
        <w:rPr>
          <w:rFonts w:ascii="仿宋" w:hAnsi="仿宋" w:eastAsia="仿宋" w:cs="Times New Roman"/>
          <w:bCs/>
          <w:sz w:val="28"/>
          <w:szCs w:val="28"/>
        </w:rPr>
      </w:pPr>
    </w:p>
    <w:p>
      <w:pPr>
        <w:ind w:firstLine="555"/>
        <w:rPr>
          <w:rFonts w:ascii="仿宋" w:hAnsi="仿宋" w:eastAsia="仿宋" w:cs="Times New Roman"/>
          <w:bCs/>
          <w:sz w:val="28"/>
          <w:szCs w:val="28"/>
        </w:rPr>
      </w:pPr>
    </w:p>
    <w:p>
      <w:pPr>
        <w:ind w:firstLine="555"/>
        <w:rPr>
          <w:rFonts w:ascii="仿宋" w:hAnsi="仿宋" w:eastAsia="仿宋" w:cs="Times New Roman"/>
          <w:bCs/>
          <w:sz w:val="28"/>
          <w:szCs w:val="28"/>
        </w:rPr>
      </w:pPr>
      <w:r>
        <w:rPr>
          <w:rFonts w:hint="eastAsia" w:ascii="仿宋" w:hAnsi="仿宋" w:eastAsia="仿宋" w:cs="Times New Roman"/>
          <w:bCs/>
          <w:sz w:val="28"/>
          <w:szCs w:val="28"/>
        </w:rPr>
        <w:t>项目委托单位：云和县农业农村局</w:t>
      </w:r>
    </w:p>
    <w:p>
      <w:pPr>
        <w:ind w:firstLine="555"/>
        <w:rPr>
          <w:rFonts w:ascii="仿宋" w:hAnsi="仿宋" w:eastAsia="仿宋" w:cs="Times New Roman"/>
          <w:bCs/>
          <w:sz w:val="28"/>
          <w:szCs w:val="28"/>
        </w:rPr>
      </w:pPr>
      <w:r>
        <w:rPr>
          <w:rFonts w:hint="eastAsia" w:ascii="仿宋" w:hAnsi="仿宋" w:eastAsia="仿宋" w:cs="Times New Roman"/>
          <w:bCs/>
          <w:sz w:val="28"/>
          <w:szCs w:val="28"/>
        </w:rPr>
        <w:t>规划编制单位：浙江兴农土地勘测规划设计有限公司</w:t>
      </w:r>
    </w:p>
    <w:p>
      <w:pPr>
        <w:ind w:firstLine="555"/>
        <w:rPr>
          <w:rFonts w:ascii="仿宋" w:hAnsi="仿宋" w:eastAsia="仿宋" w:cs="Times New Roman"/>
          <w:bCs/>
          <w:sz w:val="28"/>
          <w:szCs w:val="28"/>
        </w:rPr>
      </w:pPr>
      <w:r>
        <w:rPr>
          <w:rFonts w:hint="eastAsia" w:ascii="仿宋" w:hAnsi="仿宋" w:eastAsia="仿宋" w:cs="Times New Roman"/>
          <w:bCs/>
          <w:sz w:val="28"/>
          <w:szCs w:val="28"/>
        </w:rPr>
        <w:t>设计证书等级：土地规划乙级、生态修复乙级</w:t>
      </w:r>
    </w:p>
    <w:p>
      <w:pPr>
        <w:ind w:firstLine="555"/>
        <w:rPr>
          <w:rFonts w:ascii="仿宋" w:hAnsi="仿宋" w:eastAsia="仿宋" w:cs="Times New Roman"/>
          <w:bCs/>
          <w:sz w:val="28"/>
          <w:szCs w:val="28"/>
        </w:rPr>
      </w:pPr>
      <w:r>
        <w:rPr>
          <w:rFonts w:hint="eastAsia" w:ascii="仿宋" w:hAnsi="仿宋" w:eastAsia="仿宋" w:cs="Times New Roman"/>
          <w:bCs/>
          <w:sz w:val="28"/>
          <w:szCs w:val="28"/>
        </w:rPr>
        <w:t>项目负责人：陈彦伦</w:t>
      </w:r>
    </w:p>
    <w:p>
      <w:pPr>
        <w:ind w:firstLine="555"/>
        <w:rPr>
          <w:rFonts w:ascii="仿宋" w:hAnsi="仿宋" w:eastAsia="仿宋" w:cs="Times New Roman"/>
          <w:bCs/>
          <w:sz w:val="28"/>
          <w:szCs w:val="28"/>
        </w:rPr>
      </w:pPr>
      <w:r>
        <w:rPr>
          <w:rFonts w:hint="eastAsia" w:ascii="仿宋" w:hAnsi="仿宋" w:eastAsia="仿宋" w:cs="Times New Roman"/>
          <w:bCs/>
          <w:sz w:val="28"/>
          <w:szCs w:val="28"/>
        </w:rPr>
        <w:t>项目责任人：黄哲</w:t>
      </w:r>
    </w:p>
    <w:p>
      <w:pPr>
        <w:ind w:firstLine="555"/>
        <w:rPr>
          <w:rFonts w:ascii="仿宋" w:hAnsi="仿宋" w:eastAsia="仿宋" w:cs="Times New Roman"/>
          <w:bCs/>
          <w:sz w:val="28"/>
          <w:szCs w:val="28"/>
        </w:rPr>
      </w:pPr>
      <w:r>
        <w:rPr>
          <w:rFonts w:hint="eastAsia" w:ascii="仿宋" w:hAnsi="仿宋" w:eastAsia="仿宋" w:cs="Times New Roman"/>
          <w:bCs/>
          <w:sz w:val="28"/>
          <w:szCs w:val="28"/>
        </w:rPr>
        <w:t>规划编制人员：陈茗艳、赵海</w:t>
      </w:r>
    </w:p>
    <w:p>
      <w:pPr>
        <w:rPr>
          <w:rFonts w:ascii="仿宋" w:hAnsi="仿宋" w:eastAsia="仿宋" w:cs="Times New Roman"/>
          <w:bCs/>
        </w:rPr>
      </w:pPr>
    </w:p>
    <w:p>
      <w:pPr>
        <w:widowControl/>
        <w:jc w:val="left"/>
        <w:rPr>
          <w:rFonts w:ascii="仿宋" w:hAnsi="仿宋" w:eastAsia="仿宋" w:cs="Times New Roman"/>
          <w:bCs/>
        </w:rPr>
      </w:pPr>
      <w:r>
        <w:rPr>
          <w:rFonts w:ascii="仿宋" w:hAnsi="仿宋" w:eastAsia="仿宋" w:cs="Times New Roman"/>
          <w:bCs/>
        </w:rPr>
        <w:br w:type="page"/>
      </w:r>
    </w:p>
    <w:p>
      <w:pPr>
        <w:rPr>
          <w:rFonts w:ascii="仿宋" w:hAnsi="仿宋" w:eastAsia="仿宋" w:cs="Times New Roman"/>
          <w:bCs/>
        </w:rPr>
      </w:pPr>
      <w:r>
        <w:drawing>
          <wp:anchor distT="0" distB="0" distL="114300" distR="114300" simplePos="0" relativeHeight="251661312" behindDoc="0" locked="0" layoutInCell="1" allowOverlap="1">
            <wp:simplePos x="0" y="0"/>
            <wp:positionH relativeFrom="column">
              <wp:posOffset>-1196975</wp:posOffset>
            </wp:positionH>
            <wp:positionV relativeFrom="paragraph">
              <wp:posOffset>953770</wp:posOffset>
            </wp:positionV>
            <wp:extent cx="7607935" cy="5705475"/>
            <wp:effectExtent l="0" t="1270" r="0" b="0"/>
            <wp:wrapTopAndBottom/>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rot="5400000">
                      <a:off x="0" y="0"/>
                      <a:ext cx="7607935" cy="5705475"/>
                    </a:xfrm>
                    <a:prstGeom prst="rect">
                      <a:avLst/>
                    </a:prstGeom>
                    <a:noFill/>
                    <a:ln>
                      <a:noFill/>
                    </a:ln>
                  </pic:spPr>
                </pic:pic>
              </a:graphicData>
            </a:graphic>
          </wp:anchor>
        </w:drawing>
      </w:r>
    </w:p>
    <w:p>
      <w:pPr>
        <w:widowControl/>
        <w:jc w:val="left"/>
        <w:rPr>
          <w:rFonts w:ascii="仿宋" w:hAnsi="仿宋" w:eastAsia="仿宋" w:cs="Times New Roman"/>
          <w:bCs/>
        </w:rPr>
      </w:pPr>
      <w:r>
        <w:rPr>
          <w:rFonts w:ascii="仿宋" w:hAnsi="仿宋" w:eastAsia="仿宋" w:cs="Times New Roman"/>
          <w:bCs/>
        </w:rPr>
        <w:br w:type="page"/>
      </w:r>
    </w:p>
    <w:p>
      <w:pPr>
        <w:rPr>
          <w:rFonts w:ascii="仿宋" w:hAnsi="仿宋" w:eastAsia="仿宋" w:cs="Times New Roman"/>
          <w:bCs/>
        </w:rPr>
      </w:pPr>
      <w:r>
        <w:drawing>
          <wp:anchor distT="0" distB="0" distL="114300" distR="114300" simplePos="0" relativeHeight="251662336" behindDoc="0" locked="0" layoutInCell="1" allowOverlap="1">
            <wp:simplePos x="0" y="0"/>
            <wp:positionH relativeFrom="margin">
              <wp:align>center</wp:align>
            </wp:positionH>
            <wp:positionV relativeFrom="paragraph">
              <wp:posOffset>1103630</wp:posOffset>
            </wp:positionV>
            <wp:extent cx="7562215" cy="5671820"/>
            <wp:effectExtent l="0" t="7302" r="0" b="0"/>
            <wp:wrapTopAndBottom/>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noChangeArrowheads="true"/>
                    </pic:cNvPicPr>
                  </pic:nvPicPr>
                  <pic:blipFill>
                    <a:blip r:embed="rId12" cstate="print">
                      <a:extLst>
                        <a:ext uri="{28A0092B-C50C-407E-A947-70E740481C1C}">
                          <a14:useLocalDpi xmlns:a14="http://schemas.microsoft.com/office/drawing/2010/main" val="false"/>
                        </a:ext>
                      </a:extLst>
                    </a:blip>
                    <a:stretch>
                      <a:fillRect/>
                    </a:stretch>
                  </pic:blipFill>
                  <pic:spPr>
                    <a:xfrm rot="5400000">
                      <a:off x="0" y="0"/>
                      <a:ext cx="7562215" cy="5671820"/>
                    </a:xfrm>
                    <a:prstGeom prst="rect">
                      <a:avLst/>
                    </a:prstGeom>
                    <a:noFill/>
                    <a:ln>
                      <a:noFill/>
                    </a:ln>
                  </pic:spPr>
                </pic:pic>
              </a:graphicData>
            </a:graphic>
          </wp:anchor>
        </w:drawing>
      </w:r>
    </w:p>
    <w:p>
      <w:pPr>
        <w:widowControl/>
        <w:jc w:val="left"/>
        <w:rPr>
          <w:rFonts w:ascii="仿宋" w:hAnsi="仿宋" w:eastAsia="仿宋" w:cs="Times New Roman"/>
          <w:bCs/>
        </w:rPr>
      </w:pPr>
      <w:r>
        <w:rPr>
          <w:rFonts w:ascii="仿宋" w:hAnsi="仿宋" w:eastAsia="仿宋" w:cs="Times New Roman"/>
          <w:bCs/>
        </w:rPr>
        <w:br w:type="page"/>
      </w:r>
    </w:p>
    <w:p>
      <w:pPr>
        <w:rPr>
          <w:rFonts w:ascii="仿宋" w:hAnsi="仿宋" w:eastAsia="仿宋" w:cs="Times New Roman"/>
          <w:bCs/>
        </w:rPr>
        <w:sectPr>
          <w:headerReference r:id="rId4" w:type="first"/>
          <w:headerReference r:id="rId3" w:type="default"/>
          <w:pgSz w:w="11906" w:h="16838"/>
          <w:pgMar w:top="1440" w:right="1797" w:bottom="1440" w:left="1797" w:header="851" w:footer="992" w:gutter="0"/>
          <w:pgNumType w:fmt="upperRoman" w:start="1"/>
          <w:cols w:space="425" w:num="1"/>
          <w:docGrid w:type="lines" w:linePitch="312" w:charSpace="0"/>
        </w:sectPr>
      </w:pPr>
    </w:p>
    <w:sdt>
      <w:sdtPr>
        <w:rPr>
          <w:rFonts w:ascii="仿宋" w:hAnsi="仿宋" w:eastAsia="仿宋"/>
          <w:b w:val="0"/>
          <w:bCs w:val="0"/>
          <w:kern w:val="2"/>
          <w:sz w:val="21"/>
          <w:szCs w:val="22"/>
          <w:lang w:val="zh-CN"/>
        </w:rPr>
        <w:id w:val="-1124157446"/>
        <w:docPartObj>
          <w:docPartGallery w:val="Table of Contents"/>
          <w:docPartUnique/>
        </w:docPartObj>
      </w:sdtPr>
      <w:sdtEndPr>
        <w:rPr>
          <w:rFonts w:ascii="仿宋" w:hAnsi="仿宋" w:eastAsia="仿宋"/>
          <w:b w:val="0"/>
          <w:bCs w:val="0"/>
          <w:kern w:val="2"/>
          <w:sz w:val="21"/>
          <w:szCs w:val="22"/>
          <w:lang w:val="zh-CN"/>
        </w:rPr>
      </w:sdtEndPr>
      <w:sdtContent>
        <w:p>
          <w:pPr>
            <w:pStyle w:val="127"/>
            <w:jc w:val="center"/>
            <w:rPr>
              <w:rFonts w:ascii="仿宋" w:hAnsi="仿宋" w:eastAsia="仿宋"/>
              <w:b w:val="0"/>
            </w:rPr>
          </w:pPr>
          <w:r>
            <w:rPr>
              <w:rFonts w:ascii="仿宋" w:hAnsi="仿宋" w:eastAsia="仿宋"/>
              <w:b w:val="0"/>
              <w:lang w:val="zh-CN"/>
            </w:rPr>
            <w:t>目录</w:t>
          </w:r>
        </w:p>
        <w:p>
          <w:pPr>
            <w:pStyle w:val="57"/>
            <w:tabs>
              <w:tab w:val="right" w:leader="dot" w:pos="8296"/>
            </w:tabs>
          </w:pPr>
          <w:r>
            <w:rPr>
              <w:rFonts w:ascii="仿宋" w:hAnsi="仿宋" w:eastAsia="仿宋"/>
              <w:bCs/>
            </w:rPr>
            <w:fldChar w:fldCharType="begin"/>
          </w:r>
          <w:r>
            <w:rPr>
              <w:rFonts w:ascii="仿宋" w:hAnsi="仿宋" w:eastAsia="仿宋"/>
              <w:bCs/>
            </w:rPr>
            <w:instrText xml:space="preserve"> TOC \o "1-3" \h \z \u </w:instrText>
          </w:r>
          <w:r>
            <w:rPr>
              <w:rFonts w:ascii="仿宋" w:hAnsi="仿宋" w:eastAsia="仿宋"/>
              <w:bCs/>
            </w:rPr>
            <w:fldChar w:fldCharType="separate"/>
          </w:r>
          <w:r>
            <w:fldChar w:fldCharType="begin"/>
          </w:r>
          <w:r>
            <w:instrText xml:space="preserve"> HYPERLINK \l "_Toc99549027" </w:instrText>
          </w:r>
          <w:r>
            <w:fldChar w:fldCharType="separate"/>
          </w:r>
          <w:r>
            <w:rPr>
              <w:rStyle w:val="90"/>
              <w:rFonts w:ascii="仿宋" w:hAnsi="仿宋" w:eastAsia="仿宋" w:cs="Times New Roman"/>
              <w:b/>
              <w:kern w:val="44"/>
            </w:rPr>
            <w:t>前言</w:t>
          </w:r>
          <w:r>
            <w:tab/>
          </w:r>
          <w:r>
            <w:fldChar w:fldCharType="begin"/>
          </w:r>
          <w:r>
            <w:instrText xml:space="preserve"> PAGEREF _Toc99549027 \h </w:instrText>
          </w:r>
          <w:r>
            <w:fldChar w:fldCharType="separate"/>
          </w:r>
          <w:r>
            <w:t>1</w:t>
          </w:r>
          <w:r>
            <w:fldChar w:fldCharType="end"/>
          </w:r>
          <w:r>
            <w:fldChar w:fldCharType="end"/>
          </w:r>
        </w:p>
        <w:p>
          <w:pPr>
            <w:pStyle w:val="57"/>
            <w:tabs>
              <w:tab w:val="right" w:leader="dot" w:pos="8296"/>
            </w:tabs>
          </w:pPr>
          <w:r>
            <w:fldChar w:fldCharType="begin"/>
          </w:r>
          <w:r>
            <w:instrText xml:space="preserve"> HYPERLINK \l "_Toc99549028" </w:instrText>
          </w:r>
          <w:r>
            <w:fldChar w:fldCharType="separate"/>
          </w:r>
          <w:r>
            <w:rPr>
              <w:rStyle w:val="90"/>
              <w:rFonts w:ascii="仿宋" w:hAnsi="仿宋" w:eastAsia="仿宋" w:cs="Times New Roman"/>
              <w:b/>
              <w:kern w:val="44"/>
            </w:rPr>
            <w:t>第一章  规划基础</w:t>
          </w:r>
          <w:r>
            <w:tab/>
          </w:r>
          <w:r>
            <w:fldChar w:fldCharType="begin"/>
          </w:r>
          <w:r>
            <w:instrText xml:space="preserve"> PAGEREF _Toc99549028 \h </w:instrText>
          </w:r>
          <w:r>
            <w:fldChar w:fldCharType="separate"/>
          </w:r>
          <w:r>
            <w:t>2</w:t>
          </w:r>
          <w:r>
            <w:fldChar w:fldCharType="end"/>
          </w:r>
          <w:r>
            <w:fldChar w:fldCharType="end"/>
          </w:r>
        </w:p>
        <w:p>
          <w:pPr>
            <w:pStyle w:val="70"/>
            <w:tabs>
              <w:tab w:val="right" w:leader="dot" w:pos="8296"/>
            </w:tabs>
          </w:pPr>
          <w:r>
            <w:fldChar w:fldCharType="begin"/>
          </w:r>
          <w:r>
            <w:instrText xml:space="preserve"> HYPERLINK \l "_Toc99549029" </w:instrText>
          </w:r>
          <w:r>
            <w:fldChar w:fldCharType="separate"/>
          </w:r>
          <w:r>
            <w:rPr>
              <w:rStyle w:val="90"/>
              <w:rFonts w:ascii="仿宋" w:hAnsi="仿宋" w:eastAsia="仿宋" w:cs="Times New Roman"/>
              <w:b/>
            </w:rPr>
            <w:t>一、现实基础</w:t>
          </w:r>
          <w:r>
            <w:tab/>
          </w:r>
          <w:r>
            <w:fldChar w:fldCharType="begin"/>
          </w:r>
          <w:r>
            <w:instrText xml:space="preserve"> PAGEREF _Toc99549029 \h </w:instrText>
          </w:r>
          <w:r>
            <w:fldChar w:fldCharType="separate"/>
          </w:r>
          <w:r>
            <w:t>2</w:t>
          </w:r>
          <w:r>
            <w:fldChar w:fldCharType="end"/>
          </w:r>
          <w:r>
            <w:fldChar w:fldCharType="end"/>
          </w:r>
        </w:p>
        <w:p>
          <w:pPr>
            <w:pStyle w:val="70"/>
            <w:tabs>
              <w:tab w:val="right" w:leader="dot" w:pos="8296"/>
            </w:tabs>
          </w:pPr>
          <w:r>
            <w:fldChar w:fldCharType="begin"/>
          </w:r>
          <w:r>
            <w:instrText xml:space="preserve"> HYPERLINK \l "_Toc99549030" </w:instrText>
          </w:r>
          <w:r>
            <w:fldChar w:fldCharType="separate"/>
          </w:r>
          <w:r>
            <w:rPr>
              <w:rStyle w:val="90"/>
              <w:rFonts w:ascii="仿宋" w:hAnsi="仿宋" w:eastAsia="仿宋" w:cs="Times New Roman"/>
              <w:b/>
            </w:rPr>
            <w:t>二、发展形势</w:t>
          </w:r>
          <w:r>
            <w:tab/>
          </w:r>
          <w:r>
            <w:fldChar w:fldCharType="begin"/>
          </w:r>
          <w:r>
            <w:instrText xml:space="preserve"> PAGEREF _Toc99549030 \h </w:instrText>
          </w:r>
          <w:r>
            <w:fldChar w:fldCharType="separate"/>
          </w:r>
          <w:r>
            <w:t>6</w:t>
          </w:r>
          <w:r>
            <w:fldChar w:fldCharType="end"/>
          </w:r>
          <w:r>
            <w:fldChar w:fldCharType="end"/>
          </w:r>
        </w:p>
        <w:p>
          <w:pPr>
            <w:pStyle w:val="57"/>
            <w:tabs>
              <w:tab w:val="right" w:leader="dot" w:pos="8296"/>
            </w:tabs>
          </w:pPr>
          <w:r>
            <w:fldChar w:fldCharType="begin"/>
          </w:r>
          <w:r>
            <w:instrText xml:space="preserve"> HYPERLINK \l "_Toc99549031" </w:instrText>
          </w:r>
          <w:r>
            <w:fldChar w:fldCharType="separate"/>
          </w:r>
          <w:r>
            <w:rPr>
              <w:rStyle w:val="90"/>
              <w:rFonts w:ascii="仿宋" w:hAnsi="仿宋" w:eastAsia="仿宋" w:cs="Times New Roman"/>
              <w:b/>
              <w:kern w:val="44"/>
            </w:rPr>
            <w:t>第二章  总体思路</w:t>
          </w:r>
          <w:r>
            <w:tab/>
          </w:r>
          <w:r>
            <w:fldChar w:fldCharType="begin"/>
          </w:r>
          <w:r>
            <w:instrText xml:space="preserve"> PAGEREF _Toc99549031 \h </w:instrText>
          </w:r>
          <w:r>
            <w:fldChar w:fldCharType="separate"/>
          </w:r>
          <w:r>
            <w:t>11</w:t>
          </w:r>
          <w:r>
            <w:fldChar w:fldCharType="end"/>
          </w:r>
          <w:r>
            <w:fldChar w:fldCharType="end"/>
          </w:r>
        </w:p>
        <w:p>
          <w:pPr>
            <w:pStyle w:val="70"/>
            <w:tabs>
              <w:tab w:val="right" w:leader="dot" w:pos="8296"/>
            </w:tabs>
          </w:pPr>
          <w:r>
            <w:fldChar w:fldCharType="begin"/>
          </w:r>
          <w:r>
            <w:instrText xml:space="preserve"> HYPERLINK \l "_Toc99549032" </w:instrText>
          </w:r>
          <w:r>
            <w:fldChar w:fldCharType="separate"/>
          </w:r>
          <w:r>
            <w:rPr>
              <w:rStyle w:val="90"/>
              <w:rFonts w:ascii="仿宋" w:hAnsi="仿宋" w:eastAsia="仿宋" w:cs="Times New Roman"/>
              <w:b/>
            </w:rPr>
            <w:t>一、指导思想</w:t>
          </w:r>
          <w:r>
            <w:tab/>
          </w:r>
          <w:r>
            <w:fldChar w:fldCharType="begin"/>
          </w:r>
          <w:r>
            <w:instrText xml:space="preserve"> PAGEREF _Toc99549032 \h </w:instrText>
          </w:r>
          <w:r>
            <w:fldChar w:fldCharType="separate"/>
          </w:r>
          <w:r>
            <w:t>11</w:t>
          </w:r>
          <w:r>
            <w:fldChar w:fldCharType="end"/>
          </w:r>
          <w:r>
            <w:fldChar w:fldCharType="end"/>
          </w:r>
        </w:p>
        <w:p>
          <w:pPr>
            <w:pStyle w:val="70"/>
            <w:tabs>
              <w:tab w:val="right" w:leader="dot" w:pos="8296"/>
            </w:tabs>
          </w:pPr>
          <w:r>
            <w:fldChar w:fldCharType="begin"/>
          </w:r>
          <w:r>
            <w:instrText xml:space="preserve"> HYPERLINK \l "_Toc99549033" </w:instrText>
          </w:r>
          <w:r>
            <w:fldChar w:fldCharType="separate"/>
          </w:r>
          <w:r>
            <w:rPr>
              <w:rStyle w:val="90"/>
              <w:rFonts w:ascii="仿宋" w:hAnsi="仿宋" w:eastAsia="仿宋" w:cs="Times New Roman"/>
              <w:b/>
            </w:rPr>
            <w:t>二、基本原则</w:t>
          </w:r>
          <w:r>
            <w:tab/>
          </w:r>
          <w:r>
            <w:fldChar w:fldCharType="begin"/>
          </w:r>
          <w:r>
            <w:instrText xml:space="preserve"> PAGEREF _Toc99549033 \h </w:instrText>
          </w:r>
          <w:r>
            <w:fldChar w:fldCharType="separate"/>
          </w:r>
          <w:r>
            <w:t>11</w:t>
          </w:r>
          <w:r>
            <w:fldChar w:fldCharType="end"/>
          </w:r>
          <w:r>
            <w:fldChar w:fldCharType="end"/>
          </w:r>
        </w:p>
        <w:p>
          <w:pPr>
            <w:pStyle w:val="70"/>
            <w:tabs>
              <w:tab w:val="right" w:leader="dot" w:pos="8296"/>
            </w:tabs>
          </w:pPr>
          <w:r>
            <w:fldChar w:fldCharType="begin"/>
          </w:r>
          <w:r>
            <w:instrText xml:space="preserve"> HYPERLINK \l "_Toc99549034" </w:instrText>
          </w:r>
          <w:r>
            <w:fldChar w:fldCharType="separate"/>
          </w:r>
          <w:r>
            <w:rPr>
              <w:rStyle w:val="90"/>
              <w:rFonts w:ascii="仿宋" w:hAnsi="仿宋" w:eastAsia="仿宋" w:cs="Times New Roman"/>
              <w:b/>
            </w:rPr>
            <w:t>三、规划依据</w:t>
          </w:r>
          <w:r>
            <w:tab/>
          </w:r>
          <w:r>
            <w:fldChar w:fldCharType="begin"/>
          </w:r>
          <w:r>
            <w:instrText xml:space="preserve"> PAGEREF _Toc99549034 \h </w:instrText>
          </w:r>
          <w:r>
            <w:fldChar w:fldCharType="separate"/>
          </w:r>
          <w:r>
            <w:t>12</w:t>
          </w:r>
          <w:r>
            <w:fldChar w:fldCharType="end"/>
          </w:r>
          <w:r>
            <w:fldChar w:fldCharType="end"/>
          </w:r>
        </w:p>
        <w:p>
          <w:pPr>
            <w:pStyle w:val="70"/>
            <w:tabs>
              <w:tab w:val="right" w:leader="dot" w:pos="8296"/>
            </w:tabs>
          </w:pPr>
          <w:r>
            <w:fldChar w:fldCharType="begin"/>
          </w:r>
          <w:r>
            <w:instrText xml:space="preserve"> HYPERLINK \l "_Toc99549035" </w:instrText>
          </w:r>
          <w:r>
            <w:fldChar w:fldCharType="separate"/>
          </w:r>
          <w:r>
            <w:rPr>
              <w:rStyle w:val="90"/>
              <w:rFonts w:ascii="仿宋" w:hAnsi="仿宋" w:eastAsia="仿宋" w:cs="Times New Roman"/>
              <w:b/>
            </w:rPr>
            <w:t>四、规划范围与期限</w:t>
          </w:r>
          <w:r>
            <w:tab/>
          </w:r>
          <w:r>
            <w:fldChar w:fldCharType="begin"/>
          </w:r>
          <w:r>
            <w:instrText xml:space="preserve"> PAGEREF _Toc99549035 \h </w:instrText>
          </w:r>
          <w:r>
            <w:fldChar w:fldCharType="separate"/>
          </w:r>
          <w:r>
            <w:t>15</w:t>
          </w:r>
          <w:r>
            <w:fldChar w:fldCharType="end"/>
          </w:r>
          <w:r>
            <w:fldChar w:fldCharType="end"/>
          </w:r>
        </w:p>
        <w:p>
          <w:pPr>
            <w:pStyle w:val="70"/>
            <w:tabs>
              <w:tab w:val="right" w:leader="dot" w:pos="8296"/>
            </w:tabs>
          </w:pPr>
          <w:r>
            <w:fldChar w:fldCharType="begin"/>
          </w:r>
          <w:r>
            <w:instrText xml:space="preserve"> HYPERLINK \l "_Toc99549036" </w:instrText>
          </w:r>
          <w:r>
            <w:fldChar w:fldCharType="separate"/>
          </w:r>
          <w:r>
            <w:rPr>
              <w:rStyle w:val="90"/>
              <w:rFonts w:ascii="仿宋" w:hAnsi="仿宋" w:eastAsia="仿宋" w:cs="Times New Roman"/>
              <w:b/>
            </w:rPr>
            <w:t>五、目标任务</w:t>
          </w:r>
          <w:r>
            <w:tab/>
          </w:r>
          <w:r>
            <w:fldChar w:fldCharType="begin"/>
          </w:r>
          <w:r>
            <w:instrText xml:space="preserve"> PAGEREF _Toc99549036 \h </w:instrText>
          </w:r>
          <w:r>
            <w:fldChar w:fldCharType="separate"/>
          </w:r>
          <w:r>
            <w:t>15</w:t>
          </w:r>
          <w:r>
            <w:fldChar w:fldCharType="end"/>
          </w:r>
          <w:r>
            <w:fldChar w:fldCharType="end"/>
          </w:r>
        </w:p>
        <w:p>
          <w:pPr>
            <w:pStyle w:val="57"/>
            <w:tabs>
              <w:tab w:val="right" w:leader="dot" w:pos="8296"/>
            </w:tabs>
          </w:pPr>
          <w:r>
            <w:fldChar w:fldCharType="begin"/>
          </w:r>
          <w:r>
            <w:instrText xml:space="preserve"> HYPERLINK \l "_Toc99549037" </w:instrText>
          </w:r>
          <w:r>
            <w:fldChar w:fldCharType="separate"/>
          </w:r>
          <w:r>
            <w:rPr>
              <w:rStyle w:val="90"/>
              <w:rFonts w:ascii="仿宋" w:hAnsi="仿宋" w:eastAsia="仿宋" w:cs="Times New Roman"/>
              <w:b/>
              <w:kern w:val="44"/>
            </w:rPr>
            <w:t>第三章  潜力分析与空间布局</w:t>
          </w:r>
          <w:r>
            <w:tab/>
          </w:r>
          <w:r>
            <w:fldChar w:fldCharType="begin"/>
          </w:r>
          <w:r>
            <w:instrText xml:space="preserve"> PAGEREF _Toc99549037 \h </w:instrText>
          </w:r>
          <w:r>
            <w:fldChar w:fldCharType="separate"/>
          </w:r>
          <w:r>
            <w:t>17</w:t>
          </w:r>
          <w:r>
            <w:fldChar w:fldCharType="end"/>
          </w:r>
          <w:r>
            <w:fldChar w:fldCharType="end"/>
          </w:r>
        </w:p>
        <w:p>
          <w:pPr>
            <w:pStyle w:val="70"/>
            <w:tabs>
              <w:tab w:val="right" w:leader="dot" w:pos="8296"/>
            </w:tabs>
          </w:pPr>
          <w:r>
            <w:fldChar w:fldCharType="begin"/>
          </w:r>
          <w:r>
            <w:instrText xml:space="preserve"> HYPERLINK \l "_Toc99549038" </w:instrText>
          </w:r>
          <w:r>
            <w:fldChar w:fldCharType="separate"/>
          </w:r>
          <w:r>
            <w:rPr>
              <w:rStyle w:val="90"/>
              <w:rFonts w:ascii="仿宋" w:hAnsi="仿宋" w:eastAsia="仿宋" w:cs="Times New Roman"/>
              <w:b/>
            </w:rPr>
            <w:t>一、潜力分析</w:t>
          </w:r>
          <w:r>
            <w:tab/>
          </w:r>
          <w:r>
            <w:fldChar w:fldCharType="begin"/>
          </w:r>
          <w:r>
            <w:instrText xml:space="preserve"> PAGEREF _Toc99549038 \h </w:instrText>
          </w:r>
          <w:r>
            <w:fldChar w:fldCharType="separate"/>
          </w:r>
          <w:r>
            <w:t>17</w:t>
          </w:r>
          <w:r>
            <w:fldChar w:fldCharType="end"/>
          </w:r>
          <w:r>
            <w:fldChar w:fldCharType="end"/>
          </w:r>
        </w:p>
        <w:p>
          <w:pPr>
            <w:pStyle w:val="70"/>
            <w:tabs>
              <w:tab w:val="right" w:leader="dot" w:pos="8296"/>
            </w:tabs>
          </w:pPr>
          <w:r>
            <w:fldChar w:fldCharType="begin"/>
          </w:r>
          <w:r>
            <w:instrText xml:space="preserve"> HYPERLINK \l "_Toc99549039" </w:instrText>
          </w:r>
          <w:r>
            <w:fldChar w:fldCharType="separate"/>
          </w:r>
          <w:r>
            <w:rPr>
              <w:rStyle w:val="90"/>
              <w:rFonts w:ascii="仿宋" w:hAnsi="仿宋" w:eastAsia="仿宋" w:cs="Times New Roman"/>
              <w:b/>
            </w:rPr>
            <w:t>二、空间布局</w:t>
          </w:r>
          <w:r>
            <w:tab/>
          </w:r>
          <w:r>
            <w:fldChar w:fldCharType="begin"/>
          </w:r>
          <w:r>
            <w:instrText xml:space="preserve"> PAGEREF _Toc99549039 \h </w:instrText>
          </w:r>
          <w:r>
            <w:fldChar w:fldCharType="separate"/>
          </w:r>
          <w:r>
            <w:t>21</w:t>
          </w:r>
          <w:r>
            <w:fldChar w:fldCharType="end"/>
          </w:r>
          <w:r>
            <w:fldChar w:fldCharType="end"/>
          </w:r>
        </w:p>
        <w:p>
          <w:pPr>
            <w:pStyle w:val="57"/>
            <w:tabs>
              <w:tab w:val="right" w:leader="dot" w:pos="8296"/>
            </w:tabs>
          </w:pPr>
          <w:r>
            <w:fldChar w:fldCharType="begin"/>
          </w:r>
          <w:r>
            <w:instrText xml:space="preserve"> HYPERLINK \l "_Toc99549040" </w:instrText>
          </w:r>
          <w:r>
            <w:fldChar w:fldCharType="separate"/>
          </w:r>
          <w:r>
            <w:rPr>
              <w:rStyle w:val="90"/>
              <w:rFonts w:ascii="仿宋" w:hAnsi="仿宋" w:eastAsia="仿宋" w:cs="Times New Roman"/>
              <w:b/>
              <w:kern w:val="44"/>
            </w:rPr>
            <w:t>第四章  建设标准与建设项目</w:t>
          </w:r>
          <w:r>
            <w:tab/>
          </w:r>
          <w:r>
            <w:fldChar w:fldCharType="begin"/>
          </w:r>
          <w:r>
            <w:instrText xml:space="preserve"> PAGEREF _Toc99549040 \h </w:instrText>
          </w:r>
          <w:r>
            <w:fldChar w:fldCharType="separate"/>
          </w:r>
          <w:r>
            <w:t>26</w:t>
          </w:r>
          <w:r>
            <w:fldChar w:fldCharType="end"/>
          </w:r>
          <w:r>
            <w:fldChar w:fldCharType="end"/>
          </w:r>
        </w:p>
        <w:p>
          <w:pPr>
            <w:pStyle w:val="70"/>
            <w:tabs>
              <w:tab w:val="right" w:leader="dot" w:pos="8296"/>
            </w:tabs>
          </w:pPr>
          <w:r>
            <w:fldChar w:fldCharType="begin"/>
          </w:r>
          <w:r>
            <w:instrText xml:space="preserve"> HYPERLINK \l "_Toc99549041" </w:instrText>
          </w:r>
          <w:r>
            <w:fldChar w:fldCharType="separate"/>
          </w:r>
          <w:r>
            <w:rPr>
              <w:rStyle w:val="90"/>
              <w:rFonts w:ascii="仿宋" w:hAnsi="仿宋" w:eastAsia="仿宋" w:cs="Times New Roman"/>
              <w:b/>
            </w:rPr>
            <w:t>一、建设标准</w:t>
          </w:r>
          <w:r>
            <w:tab/>
          </w:r>
          <w:r>
            <w:fldChar w:fldCharType="begin"/>
          </w:r>
          <w:r>
            <w:instrText xml:space="preserve"> PAGEREF _Toc99549041 \h </w:instrText>
          </w:r>
          <w:r>
            <w:fldChar w:fldCharType="separate"/>
          </w:r>
          <w:r>
            <w:t>26</w:t>
          </w:r>
          <w:r>
            <w:fldChar w:fldCharType="end"/>
          </w:r>
          <w:r>
            <w:fldChar w:fldCharType="end"/>
          </w:r>
        </w:p>
        <w:p>
          <w:pPr>
            <w:pStyle w:val="70"/>
            <w:tabs>
              <w:tab w:val="right" w:leader="dot" w:pos="8296"/>
            </w:tabs>
          </w:pPr>
          <w:r>
            <w:fldChar w:fldCharType="begin"/>
          </w:r>
          <w:r>
            <w:instrText xml:space="preserve"> HYPERLINK \l "_Toc99549042" </w:instrText>
          </w:r>
          <w:r>
            <w:fldChar w:fldCharType="separate"/>
          </w:r>
          <w:r>
            <w:rPr>
              <w:rStyle w:val="90"/>
              <w:rFonts w:ascii="仿宋" w:hAnsi="仿宋" w:eastAsia="仿宋" w:cs="Times New Roman"/>
              <w:b/>
            </w:rPr>
            <w:t>二、重点建设项目</w:t>
          </w:r>
          <w:r>
            <w:tab/>
          </w:r>
          <w:r>
            <w:fldChar w:fldCharType="begin"/>
          </w:r>
          <w:r>
            <w:instrText xml:space="preserve"> PAGEREF _Toc99549042 \h </w:instrText>
          </w:r>
          <w:r>
            <w:fldChar w:fldCharType="separate"/>
          </w:r>
          <w:r>
            <w:t>30</w:t>
          </w:r>
          <w:r>
            <w:fldChar w:fldCharType="end"/>
          </w:r>
          <w:r>
            <w:fldChar w:fldCharType="end"/>
          </w:r>
        </w:p>
        <w:p>
          <w:pPr>
            <w:pStyle w:val="57"/>
            <w:tabs>
              <w:tab w:val="right" w:leader="dot" w:pos="8296"/>
            </w:tabs>
          </w:pPr>
          <w:r>
            <w:fldChar w:fldCharType="begin"/>
          </w:r>
          <w:r>
            <w:instrText xml:space="preserve"> HYPERLINK \l "_Toc99549043" </w:instrText>
          </w:r>
          <w:r>
            <w:fldChar w:fldCharType="separate"/>
          </w:r>
          <w:r>
            <w:rPr>
              <w:rStyle w:val="90"/>
              <w:rFonts w:ascii="仿宋" w:hAnsi="仿宋" w:eastAsia="仿宋" w:cs="Times New Roman"/>
              <w:b/>
              <w:kern w:val="44"/>
            </w:rPr>
            <w:t>第五章  投资估算与资金筹措</w:t>
          </w:r>
          <w:r>
            <w:tab/>
          </w:r>
          <w:r>
            <w:fldChar w:fldCharType="begin"/>
          </w:r>
          <w:r>
            <w:instrText xml:space="preserve"> PAGEREF _Toc99549043 \h </w:instrText>
          </w:r>
          <w:r>
            <w:fldChar w:fldCharType="separate"/>
          </w:r>
          <w:r>
            <w:t>35</w:t>
          </w:r>
          <w:r>
            <w:fldChar w:fldCharType="end"/>
          </w:r>
          <w:r>
            <w:fldChar w:fldCharType="end"/>
          </w:r>
        </w:p>
        <w:p>
          <w:pPr>
            <w:pStyle w:val="70"/>
            <w:tabs>
              <w:tab w:val="right" w:leader="dot" w:pos="8296"/>
            </w:tabs>
          </w:pPr>
          <w:r>
            <w:fldChar w:fldCharType="begin"/>
          </w:r>
          <w:r>
            <w:instrText xml:space="preserve"> HYPERLINK \l "_Toc99549044" </w:instrText>
          </w:r>
          <w:r>
            <w:fldChar w:fldCharType="separate"/>
          </w:r>
          <w:r>
            <w:rPr>
              <w:rStyle w:val="90"/>
              <w:rFonts w:ascii="仿宋" w:hAnsi="仿宋" w:eastAsia="仿宋" w:cs="Times New Roman"/>
              <w:b/>
            </w:rPr>
            <w:t>一、投资估算</w:t>
          </w:r>
          <w:r>
            <w:tab/>
          </w:r>
          <w:r>
            <w:fldChar w:fldCharType="begin"/>
          </w:r>
          <w:r>
            <w:instrText xml:space="preserve"> PAGEREF _Toc99549044 \h </w:instrText>
          </w:r>
          <w:r>
            <w:fldChar w:fldCharType="separate"/>
          </w:r>
          <w:r>
            <w:t>35</w:t>
          </w:r>
          <w:r>
            <w:fldChar w:fldCharType="end"/>
          </w:r>
          <w:r>
            <w:fldChar w:fldCharType="end"/>
          </w:r>
        </w:p>
        <w:p>
          <w:pPr>
            <w:pStyle w:val="70"/>
            <w:tabs>
              <w:tab w:val="right" w:leader="dot" w:pos="8296"/>
            </w:tabs>
          </w:pPr>
          <w:r>
            <w:fldChar w:fldCharType="begin"/>
          </w:r>
          <w:r>
            <w:instrText xml:space="preserve"> HYPERLINK \l "_Toc99549045" </w:instrText>
          </w:r>
          <w:r>
            <w:fldChar w:fldCharType="separate"/>
          </w:r>
          <w:r>
            <w:rPr>
              <w:rStyle w:val="90"/>
              <w:rFonts w:ascii="仿宋" w:hAnsi="仿宋" w:eastAsia="仿宋" w:cs="Times New Roman"/>
              <w:b/>
            </w:rPr>
            <w:t>二、资金筹措</w:t>
          </w:r>
          <w:r>
            <w:tab/>
          </w:r>
          <w:r>
            <w:fldChar w:fldCharType="begin"/>
          </w:r>
          <w:r>
            <w:instrText xml:space="preserve"> PAGEREF _Toc99549045 \h </w:instrText>
          </w:r>
          <w:r>
            <w:fldChar w:fldCharType="separate"/>
          </w:r>
          <w:r>
            <w:t>35</w:t>
          </w:r>
          <w:r>
            <w:fldChar w:fldCharType="end"/>
          </w:r>
          <w:r>
            <w:fldChar w:fldCharType="end"/>
          </w:r>
        </w:p>
        <w:p>
          <w:pPr>
            <w:pStyle w:val="57"/>
            <w:tabs>
              <w:tab w:val="right" w:leader="dot" w:pos="8296"/>
            </w:tabs>
          </w:pPr>
          <w:r>
            <w:fldChar w:fldCharType="begin"/>
          </w:r>
          <w:r>
            <w:instrText xml:space="preserve"> HYPERLINK \l "_Toc99549046" </w:instrText>
          </w:r>
          <w:r>
            <w:fldChar w:fldCharType="separate"/>
          </w:r>
          <w:r>
            <w:rPr>
              <w:rStyle w:val="90"/>
              <w:rFonts w:ascii="仿宋" w:hAnsi="仿宋" w:eastAsia="仿宋" w:cs="Times New Roman"/>
              <w:b/>
              <w:kern w:val="44"/>
            </w:rPr>
            <w:t>第六章  效益分析</w:t>
          </w:r>
          <w:r>
            <w:tab/>
          </w:r>
          <w:r>
            <w:fldChar w:fldCharType="begin"/>
          </w:r>
          <w:r>
            <w:instrText xml:space="preserve"> PAGEREF _Toc99549046 \h </w:instrText>
          </w:r>
          <w:r>
            <w:fldChar w:fldCharType="separate"/>
          </w:r>
          <w:r>
            <w:t>36</w:t>
          </w:r>
          <w:r>
            <w:fldChar w:fldCharType="end"/>
          </w:r>
          <w:r>
            <w:fldChar w:fldCharType="end"/>
          </w:r>
        </w:p>
        <w:p>
          <w:pPr>
            <w:pStyle w:val="70"/>
            <w:tabs>
              <w:tab w:val="right" w:leader="dot" w:pos="8296"/>
            </w:tabs>
          </w:pPr>
          <w:r>
            <w:fldChar w:fldCharType="begin"/>
          </w:r>
          <w:r>
            <w:instrText xml:space="preserve"> HYPERLINK \l "_Toc99549047" </w:instrText>
          </w:r>
          <w:r>
            <w:fldChar w:fldCharType="separate"/>
          </w:r>
          <w:r>
            <w:rPr>
              <w:rStyle w:val="90"/>
              <w:rFonts w:ascii="仿宋" w:hAnsi="仿宋" w:eastAsia="仿宋" w:cs="Times New Roman"/>
              <w:b/>
            </w:rPr>
            <w:t>一、经济效益分析</w:t>
          </w:r>
          <w:r>
            <w:tab/>
          </w:r>
          <w:r>
            <w:fldChar w:fldCharType="begin"/>
          </w:r>
          <w:r>
            <w:instrText xml:space="preserve"> PAGEREF _Toc99549047 \h </w:instrText>
          </w:r>
          <w:r>
            <w:fldChar w:fldCharType="separate"/>
          </w:r>
          <w:r>
            <w:t>36</w:t>
          </w:r>
          <w:r>
            <w:fldChar w:fldCharType="end"/>
          </w:r>
          <w:r>
            <w:fldChar w:fldCharType="end"/>
          </w:r>
        </w:p>
        <w:p>
          <w:pPr>
            <w:pStyle w:val="70"/>
            <w:tabs>
              <w:tab w:val="right" w:leader="dot" w:pos="8296"/>
            </w:tabs>
          </w:pPr>
          <w:r>
            <w:fldChar w:fldCharType="begin"/>
          </w:r>
          <w:r>
            <w:instrText xml:space="preserve"> HYPERLINK \l "_Toc99549048" </w:instrText>
          </w:r>
          <w:r>
            <w:fldChar w:fldCharType="separate"/>
          </w:r>
          <w:r>
            <w:rPr>
              <w:rStyle w:val="90"/>
              <w:rFonts w:ascii="仿宋" w:hAnsi="仿宋" w:eastAsia="仿宋" w:cs="Times New Roman"/>
              <w:b/>
            </w:rPr>
            <w:t>二、社会效益分析</w:t>
          </w:r>
          <w:r>
            <w:tab/>
          </w:r>
          <w:r>
            <w:fldChar w:fldCharType="begin"/>
          </w:r>
          <w:r>
            <w:instrText xml:space="preserve"> PAGEREF _Toc99549048 \h </w:instrText>
          </w:r>
          <w:r>
            <w:fldChar w:fldCharType="separate"/>
          </w:r>
          <w:r>
            <w:t>37</w:t>
          </w:r>
          <w:r>
            <w:fldChar w:fldCharType="end"/>
          </w:r>
          <w:r>
            <w:fldChar w:fldCharType="end"/>
          </w:r>
        </w:p>
        <w:p>
          <w:pPr>
            <w:pStyle w:val="70"/>
            <w:tabs>
              <w:tab w:val="right" w:leader="dot" w:pos="8296"/>
            </w:tabs>
          </w:pPr>
          <w:r>
            <w:fldChar w:fldCharType="begin"/>
          </w:r>
          <w:r>
            <w:instrText xml:space="preserve"> HYPERLINK \l "_Toc99549049" </w:instrText>
          </w:r>
          <w:r>
            <w:fldChar w:fldCharType="separate"/>
          </w:r>
          <w:r>
            <w:rPr>
              <w:rStyle w:val="90"/>
              <w:rFonts w:ascii="仿宋" w:hAnsi="仿宋" w:eastAsia="仿宋" w:cs="Times New Roman"/>
              <w:b/>
            </w:rPr>
            <w:t>三、生态效益分析</w:t>
          </w:r>
          <w:r>
            <w:tab/>
          </w:r>
          <w:r>
            <w:fldChar w:fldCharType="begin"/>
          </w:r>
          <w:r>
            <w:instrText xml:space="preserve"> PAGEREF _Toc99549049 \h </w:instrText>
          </w:r>
          <w:r>
            <w:fldChar w:fldCharType="separate"/>
          </w:r>
          <w:r>
            <w:t>38</w:t>
          </w:r>
          <w:r>
            <w:fldChar w:fldCharType="end"/>
          </w:r>
          <w:r>
            <w:fldChar w:fldCharType="end"/>
          </w:r>
        </w:p>
        <w:p>
          <w:pPr>
            <w:pStyle w:val="57"/>
            <w:tabs>
              <w:tab w:val="right" w:leader="dot" w:pos="8296"/>
            </w:tabs>
          </w:pPr>
          <w:r>
            <w:fldChar w:fldCharType="begin"/>
          </w:r>
          <w:r>
            <w:instrText xml:space="preserve"> HYPERLINK \l "_Toc99549050" </w:instrText>
          </w:r>
          <w:r>
            <w:fldChar w:fldCharType="separate"/>
          </w:r>
          <w:r>
            <w:rPr>
              <w:rStyle w:val="90"/>
              <w:rFonts w:ascii="仿宋" w:hAnsi="仿宋" w:eastAsia="仿宋" w:cs="Times New Roman"/>
              <w:b/>
              <w:kern w:val="44"/>
            </w:rPr>
            <w:t>第七章  建设监管与建后管护</w:t>
          </w:r>
          <w:r>
            <w:tab/>
          </w:r>
          <w:r>
            <w:fldChar w:fldCharType="begin"/>
          </w:r>
          <w:r>
            <w:instrText xml:space="preserve"> PAGEREF _Toc99549050 \h </w:instrText>
          </w:r>
          <w:r>
            <w:fldChar w:fldCharType="separate"/>
          </w:r>
          <w:r>
            <w:t>40</w:t>
          </w:r>
          <w:r>
            <w:fldChar w:fldCharType="end"/>
          </w:r>
          <w:r>
            <w:fldChar w:fldCharType="end"/>
          </w:r>
        </w:p>
        <w:p>
          <w:pPr>
            <w:pStyle w:val="70"/>
            <w:tabs>
              <w:tab w:val="right" w:leader="dot" w:pos="8296"/>
            </w:tabs>
          </w:pPr>
          <w:r>
            <w:fldChar w:fldCharType="begin"/>
          </w:r>
          <w:r>
            <w:instrText xml:space="preserve"> HYPERLINK \l "_Toc99549051" </w:instrText>
          </w:r>
          <w:r>
            <w:fldChar w:fldCharType="separate"/>
          </w:r>
          <w:r>
            <w:rPr>
              <w:rStyle w:val="90"/>
              <w:rFonts w:ascii="仿宋" w:hAnsi="仿宋" w:eastAsia="仿宋" w:cs="Times New Roman"/>
              <w:b/>
            </w:rPr>
            <w:t>一、建设监管</w:t>
          </w:r>
          <w:r>
            <w:tab/>
          </w:r>
          <w:r>
            <w:fldChar w:fldCharType="begin"/>
          </w:r>
          <w:r>
            <w:instrText xml:space="preserve"> PAGEREF _Toc99549051 \h </w:instrText>
          </w:r>
          <w:r>
            <w:fldChar w:fldCharType="separate"/>
          </w:r>
          <w:r>
            <w:t>40</w:t>
          </w:r>
          <w:r>
            <w:fldChar w:fldCharType="end"/>
          </w:r>
          <w:r>
            <w:fldChar w:fldCharType="end"/>
          </w:r>
        </w:p>
        <w:p>
          <w:pPr>
            <w:pStyle w:val="70"/>
            <w:tabs>
              <w:tab w:val="right" w:leader="dot" w:pos="8296"/>
            </w:tabs>
          </w:pPr>
          <w:r>
            <w:fldChar w:fldCharType="begin"/>
          </w:r>
          <w:r>
            <w:instrText xml:space="preserve"> HYPERLINK \l "_Toc99549052" </w:instrText>
          </w:r>
          <w:r>
            <w:fldChar w:fldCharType="separate"/>
          </w:r>
          <w:r>
            <w:rPr>
              <w:rStyle w:val="90"/>
              <w:rFonts w:ascii="仿宋" w:hAnsi="仿宋" w:eastAsia="仿宋" w:cs="Times New Roman"/>
              <w:b/>
            </w:rPr>
            <w:t>二、建后管护</w:t>
          </w:r>
          <w:r>
            <w:tab/>
          </w:r>
          <w:r>
            <w:fldChar w:fldCharType="begin"/>
          </w:r>
          <w:r>
            <w:instrText xml:space="preserve"> PAGEREF _Toc99549052 \h </w:instrText>
          </w:r>
          <w:r>
            <w:fldChar w:fldCharType="separate"/>
          </w:r>
          <w:r>
            <w:t>40</w:t>
          </w:r>
          <w:r>
            <w:fldChar w:fldCharType="end"/>
          </w:r>
          <w:r>
            <w:fldChar w:fldCharType="end"/>
          </w:r>
        </w:p>
        <w:p>
          <w:pPr>
            <w:pStyle w:val="57"/>
            <w:tabs>
              <w:tab w:val="right" w:leader="dot" w:pos="8296"/>
            </w:tabs>
          </w:pPr>
          <w:r>
            <w:fldChar w:fldCharType="begin"/>
          </w:r>
          <w:r>
            <w:instrText xml:space="preserve"> HYPERLINK \l "_Toc99549053" </w:instrText>
          </w:r>
          <w:r>
            <w:fldChar w:fldCharType="separate"/>
          </w:r>
          <w:r>
            <w:rPr>
              <w:rStyle w:val="90"/>
              <w:rFonts w:ascii="仿宋" w:hAnsi="仿宋" w:eastAsia="仿宋" w:cs="Times New Roman"/>
              <w:b/>
              <w:kern w:val="44"/>
            </w:rPr>
            <w:t>第八章 水资源与环境分析</w:t>
          </w:r>
          <w:r>
            <w:tab/>
          </w:r>
          <w:r>
            <w:fldChar w:fldCharType="begin"/>
          </w:r>
          <w:r>
            <w:instrText xml:space="preserve"> PAGEREF _Toc99549053 \h </w:instrText>
          </w:r>
          <w:r>
            <w:fldChar w:fldCharType="separate"/>
          </w:r>
          <w:r>
            <w:t>43</w:t>
          </w:r>
          <w:r>
            <w:fldChar w:fldCharType="end"/>
          </w:r>
          <w:r>
            <w:fldChar w:fldCharType="end"/>
          </w:r>
        </w:p>
        <w:p>
          <w:pPr>
            <w:pStyle w:val="70"/>
            <w:tabs>
              <w:tab w:val="right" w:leader="dot" w:pos="8296"/>
            </w:tabs>
          </w:pPr>
          <w:r>
            <w:fldChar w:fldCharType="begin"/>
          </w:r>
          <w:r>
            <w:instrText xml:space="preserve"> HYPERLINK \l "_Toc99549054" </w:instrText>
          </w:r>
          <w:r>
            <w:fldChar w:fldCharType="separate"/>
          </w:r>
          <w:r>
            <w:rPr>
              <w:rStyle w:val="90"/>
              <w:rFonts w:ascii="仿宋" w:hAnsi="仿宋" w:eastAsia="仿宋" w:cs="Times New Roman"/>
              <w:b/>
            </w:rPr>
            <w:t>一、水资源供需平衡分析</w:t>
          </w:r>
          <w:r>
            <w:tab/>
          </w:r>
          <w:r>
            <w:fldChar w:fldCharType="begin"/>
          </w:r>
          <w:r>
            <w:instrText xml:space="preserve"> PAGEREF _Toc99549054 \h </w:instrText>
          </w:r>
          <w:r>
            <w:fldChar w:fldCharType="separate"/>
          </w:r>
          <w:r>
            <w:t>43</w:t>
          </w:r>
          <w:r>
            <w:fldChar w:fldCharType="end"/>
          </w:r>
          <w:r>
            <w:fldChar w:fldCharType="end"/>
          </w:r>
        </w:p>
        <w:p>
          <w:pPr>
            <w:pStyle w:val="70"/>
            <w:tabs>
              <w:tab w:val="right" w:leader="dot" w:pos="8296"/>
            </w:tabs>
          </w:pPr>
          <w:r>
            <w:fldChar w:fldCharType="begin"/>
          </w:r>
          <w:r>
            <w:instrText xml:space="preserve"> HYPERLINK \l "_Toc99549055" </w:instrText>
          </w:r>
          <w:r>
            <w:fldChar w:fldCharType="separate"/>
          </w:r>
          <w:r>
            <w:rPr>
              <w:rStyle w:val="90"/>
              <w:rFonts w:ascii="仿宋" w:hAnsi="仿宋" w:eastAsia="仿宋" w:cs="Times New Roman"/>
              <w:b/>
            </w:rPr>
            <w:t>二、环境影响分析</w:t>
          </w:r>
          <w:r>
            <w:tab/>
          </w:r>
          <w:r>
            <w:fldChar w:fldCharType="begin"/>
          </w:r>
          <w:r>
            <w:instrText xml:space="preserve"> PAGEREF _Toc99549055 \h </w:instrText>
          </w:r>
          <w:r>
            <w:fldChar w:fldCharType="separate"/>
          </w:r>
          <w:r>
            <w:t>43</w:t>
          </w:r>
          <w:r>
            <w:fldChar w:fldCharType="end"/>
          </w:r>
          <w:r>
            <w:fldChar w:fldCharType="end"/>
          </w:r>
        </w:p>
        <w:p>
          <w:pPr>
            <w:pStyle w:val="57"/>
            <w:tabs>
              <w:tab w:val="right" w:leader="dot" w:pos="8296"/>
            </w:tabs>
          </w:pPr>
          <w:r>
            <w:fldChar w:fldCharType="begin"/>
          </w:r>
          <w:r>
            <w:instrText xml:space="preserve"> HYPERLINK \l "_Toc99549056" </w:instrText>
          </w:r>
          <w:r>
            <w:fldChar w:fldCharType="separate"/>
          </w:r>
          <w:r>
            <w:rPr>
              <w:rStyle w:val="90"/>
              <w:rFonts w:ascii="仿宋" w:hAnsi="仿宋" w:eastAsia="仿宋" w:cs="Times New Roman"/>
              <w:b/>
              <w:kern w:val="44"/>
            </w:rPr>
            <w:t>第九章  保障措施</w:t>
          </w:r>
          <w:r>
            <w:tab/>
          </w:r>
          <w:r>
            <w:fldChar w:fldCharType="begin"/>
          </w:r>
          <w:r>
            <w:instrText xml:space="preserve"> PAGEREF _Toc99549056 \h </w:instrText>
          </w:r>
          <w:r>
            <w:fldChar w:fldCharType="separate"/>
          </w:r>
          <w:r>
            <w:t>45</w:t>
          </w:r>
          <w:r>
            <w:fldChar w:fldCharType="end"/>
          </w:r>
          <w:r>
            <w:fldChar w:fldCharType="end"/>
          </w:r>
        </w:p>
        <w:p>
          <w:pPr>
            <w:pStyle w:val="70"/>
            <w:tabs>
              <w:tab w:val="right" w:leader="dot" w:pos="8296"/>
            </w:tabs>
          </w:pPr>
          <w:r>
            <w:fldChar w:fldCharType="begin"/>
          </w:r>
          <w:r>
            <w:instrText xml:space="preserve"> HYPERLINK \l "_Toc99549057" </w:instrText>
          </w:r>
          <w:r>
            <w:fldChar w:fldCharType="separate"/>
          </w:r>
          <w:r>
            <w:rPr>
              <w:rStyle w:val="90"/>
              <w:rFonts w:ascii="仿宋" w:hAnsi="仿宋" w:eastAsia="仿宋" w:cs="Times New Roman"/>
              <w:b/>
            </w:rPr>
            <w:t>一、加强组织</w:t>
          </w:r>
          <w:r>
            <w:tab/>
          </w:r>
          <w:r>
            <w:fldChar w:fldCharType="begin"/>
          </w:r>
          <w:r>
            <w:instrText xml:space="preserve"> PAGEREF _Toc99549057 \h </w:instrText>
          </w:r>
          <w:r>
            <w:fldChar w:fldCharType="separate"/>
          </w:r>
          <w:r>
            <w:t>45</w:t>
          </w:r>
          <w:r>
            <w:fldChar w:fldCharType="end"/>
          </w:r>
          <w:r>
            <w:fldChar w:fldCharType="end"/>
          </w:r>
        </w:p>
        <w:p>
          <w:pPr>
            <w:pStyle w:val="70"/>
            <w:tabs>
              <w:tab w:val="right" w:leader="dot" w:pos="8296"/>
            </w:tabs>
          </w:pPr>
          <w:r>
            <w:fldChar w:fldCharType="begin"/>
          </w:r>
          <w:r>
            <w:instrText xml:space="preserve"> HYPERLINK \l "_Toc99549058" </w:instrText>
          </w:r>
          <w:r>
            <w:fldChar w:fldCharType="separate"/>
          </w:r>
          <w:r>
            <w:rPr>
              <w:rStyle w:val="90"/>
              <w:rFonts w:ascii="仿宋" w:hAnsi="仿宋" w:eastAsia="仿宋" w:cs="Times New Roman"/>
              <w:b/>
            </w:rPr>
            <w:t>二、加大投资</w:t>
          </w:r>
          <w:r>
            <w:tab/>
          </w:r>
          <w:r>
            <w:fldChar w:fldCharType="begin"/>
          </w:r>
          <w:r>
            <w:instrText xml:space="preserve"> PAGEREF _Toc99549058 \h </w:instrText>
          </w:r>
          <w:r>
            <w:fldChar w:fldCharType="separate"/>
          </w:r>
          <w:r>
            <w:t>45</w:t>
          </w:r>
          <w:r>
            <w:fldChar w:fldCharType="end"/>
          </w:r>
          <w:r>
            <w:fldChar w:fldCharType="end"/>
          </w:r>
        </w:p>
        <w:p>
          <w:pPr>
            <w:pStyle w:val="70"/>
            <w:tabs>
              <w:tab w:val="right" w:leader="dot" w:pos="8296"/>
            </w:tabs>
          </w:pPr>
          <w:r>
            <w:fldChar w:fldCharType="begin"/>
          </w:r>
          <w:r>
            <w:instrText xml:space="preserve"> HYPERLINK \l "_Toc99549059" </w:instrText>
          </w:r>
          <w:r>
            <w:fldChar w:fldCharType="separate"/>
          </w:r>
          <w:r>
            <w:rPr>
              <w:rStyle w:val="90"/>
              <w:rFonts w:ascii="仿宋" w:hAnsi="仿宋" w:eastAsia="仿宋" w:cs="Times New Roman"/>
              <w:b/>
            </w:rPr>
            <w:t>三、制度支撑</w:t>
          </w:r>
          <w:r>
            <w:tab/>
          </w:r>
          <w:r>
            <w:fldChar w:fldCharType="begin"/>
          </w:r>
          <w:r>
            <w:instrText xml:space="preserve"> PAGEREF _Toc99549059 \h </w:instrText>
          </w:r>
          <w:r>
            <w:fldChar w:fldCharType="separate"/>
          </w:r>
          <w:r>
            <w:t>46</w:t>
          </w:r>
          <w:r>
            <w:fldChar w:fldCharType="end"/>
          </w:r>
          <w:r>
            <w:fldChar w:fldCharType="end"/>
          </w:r>
        </w:p>
        <w:p>
          <w:pPr>
            <w:pStyle w:val="70"/>
            <w:tabs>
              <w:tab w:val="right" w:leader="dot" w:pos="8296"/>
            </w:tabs>
          </w:pPr>
          <w:r>
            <w:fldChar w:fldCharType="begin"/>
          </w:r>
          <w:r>
            <w:instrText xml:space="preserve"> HYPERLINK \l "_Toc99549060" </w:instrText>
          </w:r>
          <w:r>
            <w:fldChar w:fldCharType="separate"/>
          </w:r>
          <w:r>
            <w:rPr>
              <w:rStyle w:val="90"/>
              <w:rFonts w:ascii="仿宋" w:hAnsi="仿宋" w:eastAsia="仿宋" w:cs="Times New Roman"/>
              <w:b/>
            </w:rPr>
            <w:t>四、加强监管</w:t>
          </w:r>
          <w:r>
            <w:tab/>
          </w:r>
          <w:r>
            <w:fldChar w:fldCharType="begin"/>
          </w:r>
          <w:r>
            <w:instrText xml:space="preserve"> PAGEREF _Toc99549060 \h </w:instrText>
          </w:r>
          <w:r>
            <w:fldChar w:fldCharType="separate"/>
          </w:r>
          <w:r>
            <w:t>47</w:t>
          </w:r>
          <w:r>
            <w:fldChar w:fldCharType="end"/>
          </w:r>
          <w:r>
            <w:fldChar w:fldCharType="end"/>
          </w:r>
        </w:p>
        <w:p>
          <w:pPr>
            <w:pStyle w:val="57"/>
            <w:tabs>
              <w:tab w:val="right" w:leader="dot" w:pos="8296"/>
            </w:tabs>
          </w:pPr>
          <w:r>
            <w:fldChar w:fldCharType="begin"/>
          </w:r>
          <w:r>
            <w:instrText xml:space="preserve"> HYPERLINK \l "_Toc99549061" </w:instrText>
          </w:r>
          <w:r>
            <w:fldChar w:fldCharType="separate"/>
          </w:r>
          <w:r>
            <w:rPr>
              <w:rStyle w:val="90"/>
              <w:rFonts w:ascii="仿宋" w:hAnsi="仿宋" w:eastAsia="仿宋" w:cs="Times New Roman"/>
              <w:b/>
              <w:kern w:val="44"/>
            </w:rPr>
            <w:t>附件</w:t>
          </w:r>
          <w:r>
            <w:tab/>
          </w:r>
          <w:r>
            <w:fldChar w:fldCharType="begin"/>
          </w:r>
          <w:r>
            <w:instrText xml:space="preserve"> PAGEREF _Toc99549061 \h </w:instrText>
          </w:r>
          <w:r>
            <w:fldChar w:fldCharType="separate"/>
          </w:r>
          <w:r>
            <w:t>49</w:t>
          </w:r>
          <w:r>
            <w:fldChar w:fldCharType="end"/>
          </w:r>
          <w:r>
            <w:fldChar w:fldCharType="end"/>
          </w:r>
        </w:p>
        <w:p>
          <w:pPr>
            <w:rPr>
              <w:rFonts w:ascii="仿宋" w:hAnsi="仿宋" w:eastAsia="仿宋"/>
              <w:bCs/>
            </w:rPr>
          </w:pPr>
          <w:r>
            <w:rPr>
              <w:rFonts w:ascii="仿宋" w:hAnsi="仿宋" w:eastAsia="仿宋"/>
              <w:bCs/>
              <w:lang w:val="zh-CN"/>
            </w:rPr>
            <w:fldChar w:fldCharType="end"/>
          </w:r>
        </w:p>
      </w:sdtContent>
    </w:sdt>
    <w:p>
      <w:pPr>
        <w:rPr>
          <w:rFonts w:ascii="仿宋" w:hAnsi="仿宋" w:eastAsia="仿宋" w:cs="Times New Roman"/>
          <w:bCs/>
          <w:highlight w:val="yellow"/>
        </w:rPr>
      </w:pPr>
      <w:bookmarkStart w:id="3" w:name="_Toc496003009"/>
      <w:bookmarkStart w:id="4" w:name="_Toc55321311"/>
    </w:p>
    <w:p>
      <w:pPr>
        <w:widowControl/>
        <w:jc w:val="left"/>
        <w:rPr>
          <w:rFonts w:ascii="仿宋" w:hAnsi="仿宋" w:eastAsia="仿宋" w:cs="Times New Roman"/>
          <w:bCs/>
          <w:kern w:val="44"/>
          <w:sz w:val="36"/>
          <w:szCs w:val="36"/>
        </w:rPr>
      </w:pPr>
      <w:bookmarkStart w:id="5" w:name="_Toc95983060"/>
      <w:r>
        <w:rPr>
          <w:rFonts w:ascii="仿宋" w:hAnsi="仿宋" w:eastAsia="仿宋" w:cs="Times New Roman"/>
          <w:bCs/>
          <w:kern w:val="44"/>
          <w:sz w:val="36"/>
          <w:szCs w:val="36"/>
        </w:rPr>
        <w:br w:type="page"/>
      </w:r>
    </w:p>
    <w:p>
      <w:pPr>
        <w:keepNext/>
        <w:keepLines/>
        <w:snapToGrid w:val="0"/>
        <w:spacing w:before="340" w:after="330" w:line="408" w:lineRule="auto"/>
        <w:jc w:val="center"/>
        <w:outlineLvl w:val="0"/>
        <w:rPr>
          <w:rFonts w:ascii="仿宋" w:hAnsi="仿宋" w:eastAsia="仿宋" w:cs="Times New Roman"/>
          <w:b/>
          <w:kern w:val="44"/>
          <w:sz w:val="36"/>
          <w:szCs w:val="36"/>
        </w:rPr>
      </w:pPr>
      <w:bookmarkStart w:id="6" w:name="_Toc99549027"/>
      <w:r>
        <w:rPr>
          <w:rFonts w:hint="eastAsia" w:ascii="仿宋" w:hAnsi="仿宋" w:eastAsia="仿宋" w:cs="Times New Roman"/>
          <w:b/>
          <w:kern w:val="44"/>
          <w:sz w:val="36"/>
          <w:szCs w:val="36"/>
        </w:rPr>
        <w:t>前言</w:t>
      </w:r>
      <w:bookmarkEnd w:id="3"/>
      <w:bookmarkEnd w:id="4"/>
      <w:bookmarkEnd w:id="5"/>
      <w:bookmarkEnd w:id="6"/>
    </w:p>
    <w:p>
      <w:pPr>
        <w:ind w:firstLine="555"/>
        <w:rPr>
          <w:rFonts w:ascii="仿宋" w:hAnsi="仿宋" w:eastAsia="仿宋" w:cs="Times New Roman"/>
          <w:bCs/>
          <w:sz w:val="28"/>
          <w:szCs w:val="28"/>
        </w:rPr>
      </w:pPr>
      <w:r>
        <w:rPr>
          <w:rFonts w:hint="eastAsia" w:ascii="仿宋" w:hAnsi="仿宋" w:eastAsia="仿宋" w:cs="Times New Roman"/>
          <w:bCs/>
          <w:sz w:val="28"/>
          <w:szCs w:val="28"/>
        </w:rPr>
        <w:t>土地是人类生存和发展必需的空间资源，农田是农业生产最重要的物质基础，高标准农田建设是农业现代化的基本要素。加快高标准农田建设，对提高农业综合生产能力，保障国家粮食安全和主要农产品有效供给，提高耕地和水资源利用效率，促进农业增效、农民增收和农村发展具有非常重要的意义。</w:t>
      </w:r>
    </w:p>
    <w:p>
      <w:pPr>
        <w:ind w:firstLine="555"/>
        <w:rPr>
          <w:rFonts w:ascii="仿宋" w:hAnsi="仿宋" w:eastAsia="仿宋" w:cs="Times New Roman"/>
          <w:bCs/>
          <w:sz w:val="28"/>
          <w:szCs w:val="28"/>
        </w:rPr>
      </w:pPr>
      <w:r>
        <w:rPr>
          <w:rFonts w:hint="eastAsia" w:ascii="仿宋" w:hAnsi="仿宋" w:eastAsia="仿宋" w:cs="Times New Roman"/>
          <w:bCs/>
          <w:sz w:val="28"/>
          <w:szCs w:val="28"/>
        </w:rPr>
        <w:t>国务院印发《国务院关于全国高标准农田建设规划（</w:t>
      </w:r>
      <w:r>
        <w:rPr>
          <w:rFonts w:ascii="仿宋" w:hAnsi="仿宋" w:eastAsia="仿宋" w:cs="Times New Roman"/>
          <w:bCs/>
          <w:sz w:val="28"/>
          <w:szCs w:val="28"/>
        </w:rPr>
        <w:t>2021—2030年）的批复》（国函〔2021〕86号），批准实施《全国高标准农田建设规划（2021—2030年）》，要求加快推进省、市、县级高标准农田建设规划编制，细化政策措施，将建设任务分解到市、县，落实到地块。为贯彻落实党中央、国务院决策部署，完善高标准农田建设规划体系。</w:t>
      </w:r>
    </w:p>
    <w:p>
      <w:pPr>
        <w:ind w:firstLine="555"/>
        <w:rPr>
          <w:rFonts w:ascii="仿宋" w:hAnsi="仿宋" w:eastAsia="仿宋" w:cs="Times New Roman"/>
          <w:bCs/>
          <w:sz w:val="28"/>
          <w:szCs w:val="28"/>
        </w:rPr>
      </w:pPr>
      <w:r>
        <w:rPr>
          <w:rFonts w:hint="eastAsia" w:ascii="仿宋" w:hAnsi="仿宋" w:eastAsia="仿宋" w:cs="Times New Roman"/>
          <w:bCs/>
          <w:sz w:val="28"/>
          <w:szCs w:val="28"/>
        </w:rPr>
        <w:t>云和县县委、县政府高度重视高标准农田建设，以项目建设为抓手，全面推进高标准农田建设，提高了农业生产能力和效率，对促进农业稳产高产、农民增收致富做出了重要的贡献。</w:t>
      </w:r>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是指土地平整、土壤肥沃、集中连片、设施完善、农电配套、生态良好、抗灾能力强，与现代农业生产和经营方式相适应的旱涝保收、持续高产稳产的农田。为了更好地适应乡村振兴战略实施的需要，促进农村一二三产融合发展，根据上级要求，特编制《云和县高标准农田建设“十四五”规划》。</w:t>
      </w:r>
    </w:p>
    <w:p>
      <w:pPr>
        <w:ind w:firstLine="555"/>
        <w:rPr>
          <w:rFonts w:ascii="仿宋" w:hAnsi="仿宋" w:eastAsia="仿宋" w:cs="Times New Roman"/>
          <w:bCs/>
          <w:sz w:val="28"/>
          <w:szCs w:val="28"/>
        </w:rPr>
        <w:sectPr>
          <w:headerReference r:id="rId5" w:type="default"/>
          <w:footerReference r:id="rId6" w:type="default"/>
          <w:pgSz w:w="11906" w:h="16838"/>
          <w:pgMar w:top="1440" w:right="1800" w:bottom="1440" w:left="1800" w:header="851" w:footer="992" w:gutter="0"/>
          <w:pgNumType w:start="0"/>
          <w:cols w:space="425" w:num="1"/>
          <w:titlePg/>
          <w:docGrid w:type="lines" w:linePitch="312" w:charSpace="0"/>
        </w:sectPr>
      </w:pPr>
    </w:p>
    <w:p>
      <w:pPr>
        <w:keepNext/>
        <w:keepLines/>
        <w:tabs>
          <w:tab w:val="left" w:pos="2700"/>
        </w:tabs>
        <w:spacing w:before="340" w:after="330" w:line="578" w:lineRule="auto"/>
        <w:jc w:val="center"/>
        <w:outlineLvl w:val="0"/>
        <w:rPr>
          <w:rFonts w:ascii="仿宋" w:hAnsi="仿宋" w:eastAsia="仿宋" w:cs="Times New Roman"/>
          <w:b/>
          <w:kern w:val="44"/>
          <w:sz w:val="36"/>
          <w:szCs w:val="36"/>
        </w:rPr>
      </w:pPr>
      <w:bookmarkStart w:id="7" w:name="_Toc99549028"/>
      <w:bookmarkStart w:id="8" w:name="_Toc95983061"/>
      <w:bookmarkStart w:id="9" w:name="_Toc55321312"/>
      <w:bookmarkStart w:id="10" w:name="_Toc496003010"/>
      <w:r>
        <w:rPr>
          <w:rFonts w:hint="eastAsia" w:ascii="仿宋" w:hAnsi="仿宋" w:eastAsia="仿宋" w:cs="Times New Roman"/>
          <w:b/>
          <w:kern w:val="44"/>
          <w:sz w:val="36"/>
          <w:szCs w:val="36"/>
        </w:rPr>
        <w:t xml:space="preserve">第一章 </w:t>
      </w:r>
      <w:r>
        <w:rPr>
          <w:rFonts w:ascii="仿宋" w:hAnsi="仿宋" w:eastAsia="仿宋" w:cs="Times New Roman"/>
          <w:b/>
          <w:kern w:val="44"/>
          <w:sz w:val="36"/>
          <w:szCs w:val="36"/>
        </w:rPr>
        <w:t xml:space="preserve"> </w:t>
      </w:r>
      <w:r>
        <w:rPr>
          <w:rFonts w:hint="eastAsia" w:ascii="仿宋" w:hAnsi="仿宋" w:eastAsia="仿宋" w:cs="Times New Roman"/>
          <w:b/>
          <w:kern w:val="44"/>
          <w:sz w:val="36"/>
          <w:szCs w:val="36"/>
        </w:rPr>
        <w:t>规划基础</w:t>
      </w:r>
      <w:bookmarkEnd w:id="7"/>
    </w:p>
    <w:p>
      <w:pPr>
        <w:keepNext/>
        <w:keepLines/>
        <w:spacing w:before="260" w:after="260" w:line="416" w:lineRule="auto"/>
        <w:jc w:val="left"/>
        <w:outlineLvl w:val="1"/>
        <w:rPr>
          <w:rFonts w:ascii="仿宋" w:hAnsi="仿宋" w:eastAsia="仿宋" w:cs="Times New Roman"/>
          <w:b/>
          <w:sz w:val="30"/>
          <w:szCs w:val="30"/>
        </w:rPr>
      </w:pPr>
      <w:bookmarkStart w:id="11" w:name="_Toc99549029"/>
      <w:r>
        <w:rPr>
          <w:rFonts w:hint="eastAsia" w:ascii="仿宋" w:hAnsi="仿宋" w:eastAsia="仿宋" w:cs="Times New Roman"/>
          <w:b/>
          <w:sz w:val="30"/>
          <w:szCs w:val="30"/>
        </w:rPr>
        <w:t>一、现实基础</w:t>
      </w:r>
      <w:bookmarkEnd w:id="11"/>
    </w:p>
    <w:p>
      <w:pPr>
        <w:ind w:firstLine="555"/>
        <w:rPr>
          <w:rFonts w:ascii="仿宋" w:hAnsi="仿宋" w:eastAsia="仿宋" w:cs="Times New Roman"/>
          <w:bCs/>
          <w:sz w:val="28"/>
          <w:szCs w:val="28"/>
        </w:rPr>
      </w:pPr>
      <w:r>
        <w:rPr>
          <w:rFonts w:hint="eastAsia" w:ascii="仿宋" w:hAnsi="仿宋" w:eastAsia="仿宋" w:cs="Times New Roman"/>
          <w:bCs/>
          <w:sz w:val="28"/>
          <w:szCs w:val="28"/>
        </w:rPr>
        <w:t>（一）自然概况</w:t>
      </w:r>
    </w:p>
    <w:p>
      <w:pPr>
        <w:ind w:firstLine="555"/>
        <w:rPr>
          <w:rFonts w:ascii="仿宋" w:hAnsi="仿宋" w:eastAsia="仿宋" w:cs="Times New Roman"/>
          <w:bCs/>
          <w:sz w:val="28"/>
          <w:szCs w:val="28"/>
        </w:rPr>
      </w:pPr>
      <w:r>
        <w:rPr>
          <w:rFonts w:hint="eastAsia" w:ascii="仿宋" w:hAnsi="仿宋" w:eastAsia="仿宋" w:cs="Times New Roman"/>
          <w:bCs/>
          <w:sz w:val="28"/>
          <w:szCs w:val="28"/>
        </w:rPr>
        <w:t>云和县地处浙江省西南部，总面积</w:t>
      </w:r>
      <w:r>
        <w:rPr>
          <w:rFonts w:ascii="仿宋" w:hAnsi="仿宋" w:eastAsia="仿宋" w:cs="Times New Roman"/>
          <w:bCs/>
          <w:sz w:val="28"/>
          <w:szCs w:val="28"/>
        </w:rPr>
        <w:t>984</w:t>
      </w:r>
      <w:r>
        <w:rPr>
          <w:rFonts w:hint="eastAsia" w:ascii="仿宋" w:hAnsi="仿宋" w:eastAsia="仿宋" w:cs="Times New Roman"/>
          <w:bCs/>
          <w:sz w:val="28"/>
          <w:szCs w:val="28"/>
        </w:rPr>
        <w:t>平方公里，辖4街道3镇3乡，共有</w:t>
      </w:r>
      <w:r>
        <w:rPr>
          <w:rFonts w:ascii="仿宋" w:hAnsi="仿宋" w:eastAsia="仿宋" w:cs="Times New Roman"/>
          <w:bCs/>
          <w:sz w:val="28"/>
          <w:szCs w:val="28"/>
        </w:rPr>
        <w:t>88</w:t>
      </w:r>
      <w:r>
        <w:rPr>
          <w:rFonts w:hint="eastAsia" w:ascii="仿宋" w:hAnsi="仿宋" w:eastAsia="仿宋" w:cs="Times New Roman"/>
          <w:bCs/>
          <w:sz w:val="28"/>
          <w:szCs w:val="28"/>
        </w:rPr>
        <w:t>个社区和行政村。东邻丽水市莲都区，西倚龙泉市，南连景宁畲族自治县，北接松阳县，地势自西南向东北倾斜，境内以高丘及低、中山为主，素有“九山半水半分田”之称。</w:t>
      </w:r>
    </w:p>
    <w:p>
      <w:pPr>
        <w:rPr>
          <w:rFonts w:ascii="仿宋" w:hAnsi="仿宋" w:eastAsia="仿宋" w:cs="Times New Roman"/>
          <w:bCs/>
          <w:color w:val="FF0000"/>
          <w:sz w:val="28"/>
          <w:szCs w:val="28"/>
        </w:rPr>
      </w:pPr>
      <w:r>
        <w:rPr>
          <w:rFonts w:ascii="仿宋" w:hAnsi="仿宋" w:eastAsia="仿宋" w:cs="Times New Roman"/>
          <w:bCs/>
          <w:sz w:val="24"/>
          <w:szCs w:val="24"/>
        </w:rPr>
        <w:drawing>
          <wp:inline distT="0" distB="0" distL="0" distR="0">
            <wp:extent cx="5241925" cy="3476625"/>
            <wp:effectExtent l="0" t="0" r="0" b="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5241925" cy="3476625"/>
                    </a:xfrm>
                    <a:prstGeom prst="rect">
                      <a:avLst/>
                    </a:prstGeom>
                    <a:noFill/>
                    <a:ln>
                      <a:noFill/>
                    </a:ln>
                  </pic:spPr>
                </pic:pic>
              </a:graphicData>
            </a:graphic>
          </wp:inline>
        </w:drawing>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图</w:t>
      </w:r>
      <w:r>
        <w:rPr>
          <w:rFonts w:ascii="仿宋" w:hAnsi="仿宋" w:eastAsia="仿宋" w:cs="Times New Roman"/>
          <w:bCs/>
          <w:sz w:val="24"/>
          <w:szCs w:val="28"/>
        </w:rPr>
        <w:t>1</w:t>
      </w:r>
      <w:r>
        <w:rPr>
          <w:rFonts w:hint="eastAsia" w:ascii="仿宋" w:hAnsi="仿宋" w:eastAsia="仿宋" w:cs="Times New Roman"/>
          <w:bCs/>
          <w:sz w:val="24"/>
          <w:szCs w:val="28"/>
        </w:rPr>
        <w:t>-1云和梯田</w:t>
      </w:r>
    </w:p>
    <w:p>
      <w:pPr>
        <w:ind w:firstLine="555"/>
        <w:rPr>
          <w:rFonts w:ascii="仿宋" w:hAnsi="仿宋" w:eastAsia="仿宋" w:cs="Times New Roman"/>
          <w:bCs/>
          <w:sz w:val="28"/>
          <w:szCs w:val="28"/>
        </w:rPr>
      </w:pPr>
      <w:r>
        <w:rPr>
          <w:rFonts w:hint="eastAsia" w:ascii="仿宋" w:hAnsi="仿宋" w:eastAsia="仿宋" w:cs="Times New Roman"/>
          <w:bCs/>
          <w:sz w:val="28"/>
          <w:szCs w:val="28"/>
        </w:rPr>
        <w:t>云和是“九山半水半分田”的山区县，境内以高丘及低、中山为主，地势自西南向东北倾斜，山脉有南部的洞宫山脉和北部的仙霞岭山脉余支。山地、丘陵陷落成山间盆地，龙泉溪及沿岸有宽窄不等的河谷盆地，其中以云和盆地面积最大，约26平方公里，为云和县主要产粮区。</w:t>
      </w:r>
    </w:p>
    <w:p>
      <w:pPr>
        <w:rPr>
          <w:rFonts w:ascii="仿宋" w:hAnsi="仿宋" w:eastAsia="仿宋" w:cs="Times New Roman"/>
          <w:bCs/>
          <w:sz w:val="28"/>
          <w:szCs w:val="28"/>
        </w:rPr>
      </w:pPr>
      <w:r>
        <w:rPr>
          <w:rFonts w:ascii="仿宋" w:hAnsi="仿宋" w:eastAsia="仿宋" w:cs="Times New Roman"/>
          <w:bCs/>
          <w:sz w:val="24"/>
          <w:szCs w:val="24"/>
        </w:rPr>
        <w:drawing>
          <wp:inline distT="0" distB="0" distL="0" distR="0">
            <wp:extent cx="5274310" cy="3910330"/>
            <wp:effectExtent l="0" t="0" r="0" b="0"/>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5274310" cy="3910330"/>
                    </a:xfrm>
                    <a:prstGeom prst="rect">
                      <a:avLst/>
                    </a:prstGeom>
                    <a:noFill/>
                    <a:ln>
                      <a:noFill/>
                    </a:ln>
                  </pic:spPr>
                </pic:pic>
              </a:graphicData>
            </a:graphic>
          </wp:inline>
        </w:drawing>
      </w:r>
    </w:p>
    <w:p>
      <w:pPr>
        <w:ind w:firstLine="555"/>
        <w:jc w:val="center"/>
        <w:rPr>
          <w:rFonts w:ascii="仿宋" w:hAnsi="仿宋" w:eastAsia="仿宋" w:cs="Times New Roman"/>
          <w:bCs/>
          <w:sz w:val="24"/>
          <w:szCs w:val="28"/>
        </w:rPr>
      </w:pPr>
      <w:r>
        <w:rPr>
          <w:rFonts w:hint="eastAsia" w:ascii="仿宋" w:hAnsi="仿宋" w:eastAsia="仿宋" w:cs="Times New Roman"/>
          <w:bCs/>
          <w:color w:val="4C4C4C"/>
          <w:sz w:val="27"/>
          <w:szCs w:val="27"/>
          <w:shd w:val="clear" w:color="auto" w:fill="FFFFFF"/>
        </w:rPr>
        <w:t>　</w:t>
      </w:r>
      <w:r>
        <w:rPr>
          <w:rFonts w:ascii="仿宋" w:hAnsi="仿宋" w:eastAsia="仿宋" w:cs="Times New Roman"/>
          <w:bCs/>
          <w:color w:val="4C4C4C"/>
          <w:sz w:val="27"/>
          <w:szCs w:val="27"/>
          <w:shd w:val="clear" w:color="auto" w:fill="FFFFFF"/>
        </w:rPr>
        <w:t>　</w:t>
      </w:r>
      <w:r>
        <w:rPr>
          <w:rFonts w:hint="eastAsia" w:ascii="仿宋" w:hAnsi="仿宋" w:eastAsia="仿宋" w:cs="Times New Roman"/>
          <w:bCs/>
          <w:sz w:val="24"/>
          <w:szCs w:val="28"/>
        </w:rPr>
        <w:t>图</w:t>
      </w:r>
      <w:r>
        <w:rPr>
          <w:rFonts w:ascii="仿宋" w:hAnsi="仿宋" w:eastAsia="仿宋" w:cs="Times New Roman"/>
          <w:bCs/>
          <w:sz w:val="24"/>
          <w:szCs w:val="28"/>
        </w:rPr>
        <w:t>1</w:t>
      </w:r>
      <w:r>
        <w:rPr>
          <w:rFonts w:hint="eastAsia" w:ascii="仿宋" w:hAnsi="仿宋" w:eastAsia="仿宋" w:cs="Times New Roman"/>
          <w:bCs/>
          <w:sz w:val="24"/>
          <w:szCs w:val="28"/>
        </w:rPr>
        <w:t>-</w:t>
      </w:r>
      <w:r>
        <w:rPr>
          <w:rFonts w:ascii="仿宋" w:hAnsi="仿宋" w:eastAsia="仿宋" w:cs="Times New Roman"/>
          <w:bCs/>
          <w:sz w:val="24"/>
          <w:szCs w:val="28"/>
        </w:rPr>
        <w:t>2</w:t>
      </w:r>
      <w:r>
        <w:rPr>
          <w:rFonts w:hint="eastAsia" w:ascii="仿宋" w:hAnsi="仿宋" w:eastAsia="仿宋" w:cs="Times New Roman"/>
          <w:bCs/>
          <w:sz w:val="24"/>
          <w:szCs w:val="28"/>
        </w:rPr>
        <w:t>云和盆地</w:t>
      </w:r>
    </w:p>
    <w:p>
      <w:pPr>
        <w:ind w:firstLine="555"/>
        <w:rPr>
          <w:rFonts w:ascii="仿宋" w:hAnsi="仿宋" w:eastAsia="仿宋" w:cs="Times New Roman"/>
          <w:bCs/>
          <w:sz w:val="28"/>
          <w:szCs w:val="28"/>
        </w:rPr>
      </w:pPr>
      <w:r>
        <w:rPr>
          <w:rFonts w:hint="eastAsia" w:ascii="仿宋" w:hAnsi="仿宋" w:eastAsia="仿宋" w:cs="Times New Roman"/>
          <w:bCs/>
          <w:sz w:val="28"/>
          <w:szCs w:val="28"/>
        </w:rPr>
        <w:t>（二）社会经济情况</w:t>
      </w:r>
    </w:p>
    <w:p>
      <w:pPr>
        <w:ind w:firstLine="555"/>
        <w:rPr>
          <w:rFonts w:ascii="仿宋" w:hAnsi="仿宋" w:eastAsia="仿宋" w:cs="Times New Roman"/>
          <w:bCs/>
          <w:sz w:val="28"/>
          <w:szCs w:val="28"/>
        </w:rPr>
      </w:pPr>
      <w:r>
        <w:rPr>
          <w:rFonts w:hint="eastAsia" w:ascii="仿宋" w:hAnsi="仿宋" w:eastAsia="仿宋" w:cs="Times New Roman"/>
          <w:bCs/>
          <w:sz w:val="28"/>
          <w:szCs w:val="28"/>
        </w:rPr>
        <w:t>2020年，全县实现生产总值（GDP）869947万元，按可比价格计算，比上年增长5.8%。其中，第一产业增加值49084万元，增长2.0%；第二产业增加值439949万元，增长3.7%；第三产业增加值380914万元，增长9.6%。三次产业对经济增长的贡献率分别为2.1%、36.5%、61.4%；三次产业增加值结构为5.6：50.6：43.8。</w:t>
      </w:r>
    </w:p>
    <w:p>
      <w:pPr>
        <w:ind w:firstLine="555"/>
        <w:rPr>
          <w:rFonts w:ascii="仿宋" w:hAnsi="仿宋" w:eastAsia="仿宋" w:cs="Times New Roman"/>
          <w:bCs/>
          <w:sz w:val="28"/>
          <w:szCs w:val="28"/>
        </w:rPr>
      </w:pPr>
      <w:r>
        <w:rPr>
          <w:rFonts w:hint="eastAsia" w:ascii="仿宋" w:hAnsi="仿宋" w:eastAsia="仿宋" w:cs="Times New Roman"/>
          <w:bCs/>
          <w:sz w:val="28"/>
          <w:szCs w:val="28"/>
        </w:rPr>
        <w:t>（三）耕地情况</w:t>
      </w:r>
    </w:p>
    <w:p>
      <w:pPr>
        <w:ind w:firstLine="555"/>
        <w:rPr>
          <w:rFonts w:ascii="仿宋" w:hAnsi="仿宋" w:eastAsia="仿宋" w:cs="Times New Roman"/>
          <w:bCs/>
          <w:sz w:val="28"/>
          <w:szCs w:val="28"/>
        </w:rPr>
      </w:pPr>
      <w:r>
        <w:rPr>
          <w:rFonts w:hint="eastAsia" w:ascii="仿宋" w:hAnsi="仿宋" w:eastAsia="仿宋" w:cs="Times New Roman"/>
          <w:bCs/>
          <w:sz w:val="28"/>
          <w:szCs w:val="28"/>
        </w:rPr>
        <w:t>根据全国第三次土地调查成果统计，全县现有耕地面积</w:t>
      </w:r>
      <w:r>
        <w:rPr>
          <w:rFonts w:ascii="仿宋" w:hAnsi="仿宋" w:eastAsia="仿宋" w:cs="Times New Roman"/>
          <w:bCs/>
          <w:sz w:val="28"/>
          <w:szCs w:val="28"/>
        </w:rPr>
        <w:t>10.45万亩，主要分布在</w:t>
      </w:r>
      <w:r>
        <w:rPr>
          <w:rFonts w:hint="eastAsia" w:ascii="仿宋" w:hAnsi="仿宋" w:eastAsia="仿宋" w:cs="Times New Roman"/>
          <w:bCs/>
          <w:sz w:val="28"/>
          <w:szCs w:val="28"/>
        </w:rPr>
        <w:t>崇头镇</w:t>
      </w:r>
      <w:r>
        <w:rPr>
          <w:rFonts w:ascii="仿宋" w:hAnsi="仿宋" w:eastAsia="仿宋" w:cs="Times New Roman"/>
          <w:bCs/>
          <w:sz w:val="28"/>
          <w:szCs w:val="28"/>
        </w:rPr>
        <w:t>、</w:t>
      </w:r>
      <w:r>
        <w:rPr>
          <w:rFonts w:hint="eastAsia" w:ascii="仿宋" w:hAnsi="仿宋" w:eastAsia="仿宋" w:cs="Times New Roman"/>
          <w:bCs/>
          <w:sz w:val="28"/>
          <w:szCs w:val="28"/>
        </w:rPr>
        <w:t>石塘镇</w:t>
      </w:r>
      <w:r>
        <w:rPr>
          <w:rFonts w:ascii="仿宋" w:hAnsi="仿宋" w:eastAsia="仿宋" w:cs="Times New Roman"/>
          <w:bCs/>
          <w:sz w:val="28"/>
          <w:szCs w:val="28"/>
        </w:rPr>
        <w:t>，</w:t>
      </w:r>
      <w:r>
        <w:rPr>
          <w:rFonts w:hint="eastAsia" w:ascii="仿宋" w:hAnsi="仿宋" w:eastAsia="仿宋" w:cs="Times New Roman"/>
          <w:bCs/>
          <w:sz w:val="28"/>
          <w:szCs w:val="28"/>
        </w:rPr>
        <w:t>两个乡镇</w:t>
      </w:r>
      <w:r>
        <w:rPr>
          <w:rFonts w:ascii="仿宋" w:hAnsi="仿宋" w:eastAsia="仿宋" w:cs="Times New Roman"/>
          <w:bCs/>
          <w:sz w:val="28"/>
          <w:szCs w:val="28"/>
        </w:rPr>
        <w:t>耕地占全</w:t>
      </w:r>
      <w:r>
        <w:rPr>
          <w:rFonts w:hint="eastAsia" w:ascii="仿宋" w:hAnsi="仿宋" w:eastAsia="仿宋" w:cs="Times New Roman"/>
          <w:bCs/>
          <w:sz w:val="28"/>
          <w:szCs w:val="28"/>
        </w:rPr>
        <w:t>县</w:t>
      </w:r>
      <w:r>
        <w:rPr>
          <w:rFonts w:ascii="仿宋" w:hAnsi="仿宋" w:eastAsia="仿宋" w:cs="Times New Roman"/>
          <w:bCs/>
          <w:sz w:val="28"/>
          <w:szCs w:val="28"/>
        </w:rPr>
        <w:t>耕地总面积的53.38%，其中占比最高的是</w:t>
      </w:r>
      <w:r>
        <w:rPr>
          <w:rFonts w:hint="eastAsia" w:ascii="仿宋" w:hAnsi="仿宋" w:eastAsia="仿宋" w:cs="Times New Roman"/>
          <w:bCs/>
          <w:sz w:val="28"/>
          <w:szCs w:val="28"/>
        </w:rPr>
        <w:t>崇头镇</w:t>
      </w:r>
      <w:r>
        <w:rPr>
          <w:rFonts w:ascii="仿宋" w:hAnsi="仿宋" w:eastAsia="仿宋" w:cs="Times New Roman"/>
          <w:bCs/>
          <w:sz w:val="28"/>
          <w:szCs w:val="28"/>
        </w:rPr>
        <w:t>，耕地面积占全</w:t>
      </w:r>
      <w:r>
        <w:rPr>
          <w:rFonts w:hint="eastAsia" w:ascii="仿宋" w:hAnsi="仿宋" w:eastAsia="仿宋" w:cs="Times New Roman"/>
          <w:bCs/>
          <w:sz w:val="28"/>
          <w:szCs w:val="28"/>
        </w:rPr>
        <w:t>县</w:t>
      </w:r>
      <w:r>
        <w:rPr>
          <w:rFonts w:ascii="仿宋" w:hAnsi="仿宋" w:eastAsia="仿宋" w:cs="Times New Roman"/>
          <w:bCs/>
          <w:sz w:val="28"/>
          <w:szCs w:val="28"/>
        </w:rPr>
        <w:t>的</w:t>
      </w:r>
      <w:r>
        <w:rPr>
          <w:rFonts w:hint="eastAsia" w:ascii="仿宋" w:hAnsi="仿宋" w:eastAsia="仿宋" w:cs="Times New Roman"/>
          <w:bCs/>
          <w:sz w:val="28"/>
          <w:szCs w:val="28"/>
        </w:rPr>
        <w:t>3</w:t>
      </w:r>
      <w:r>
        <w:rPr>
          <w:rFonts w:ascii="仿宋" w:hAnsi="仿宋" w:eastAsia="仿宋" w:cs="Times New Roman"/>
          <w:bCs/>
          <w:sz w:val="28"/>
          <w:szCs w:val="28"/>
        </w:rPr>
        <w:t>8</w:t>
      </w:r>
      <w:r>
        <w:rPr>
          <w:rFonts w:hint="eastAsia" w:ascii="仿宋" w:hAnsi="仿宋" w:eastAsia="仿宋" w:cs="Times New Roman"/>
          <w:bCs/>
          <w:sz w:val="28"/>
          <w:szCs w:val="28"/>
        </w:rPr>
        <w:t>%</w:t>
      </w:r>
      <w:r>
        <w:rPr>
          <w:rFonts w:ascii="仿宋" w:hAnsi="仿宋" w:eastAsia="仿宋" w:cs="Times New Roman"/>
          <w:bCs/>
          <w:sz w:val="28"/>
          <w:szCs w:val="28"/>
        </w:rPr>
        <w:t>，全</w:t>
      </w:r>
      <w:r>
        <w:rPr>
          <w:rFonts w:hint="eastAsia" w:ascii="仿宋" w:hAnsi="仿宋" w:eastAsia="仿宋" w:cs="Times New Roman"/>
          <w:bCs/>
          <w:sz w:val="28"/>
          <w:szCs w:val="28"/>
        </w:rPr>
        <w:t>县</w:t>
      </w:r>
      <w:r>
        <w:rPr>
          <w:rFonts w:ascii="仿宋" w:hAnsi="仿宋" w:eastAsia="仿宋" w:cs="Times New Roman"/>
          <w:bCs/>
          <w:sz w:val="28"/>
          <w:szCs w:val="28"/>
        </w:rPr>
        <w:t>耕地面积最少的是</w:t>
      </w:r>
      <w:r>
        <w:rPr>
          <w:rFonts w:hint="eastAsia" w:ascii="仿宋" w:hAnsi="仿宋" w:eastAsia="仿宋" w:cs="Times New Roman"/>
          <w:bCs/>
          <w:sz w:val="28"/>
          <w:szCs w:val="28"/>
        </w:rPr>
        <w:t>浮云街道</w:t>
      </w:r>
      <w:r>
        <w:rPr>
          <w:rFonts w:ascii="仿宋" w:hAnsi="仿宋" w:eastAsia="仿宋" w:cs="Times New Roman"/>
          <w:bCs/>
          <w:sz w:val="28"/>
          <w:szCs w:val="28"/>
        </w:rPr>
        <w:t>，仅占全县耕地面积的2%</w:t>
      </w:r>
      <w:r>
        <w:rPr>
          <w:rFonts w:hint="eastAsia" w:ascii="仿宋" w:hAnsi="仿宋" w:eastAsia="仿宋" w:cs="Times New Roman"/>
          <w:bCs/>
          <w:sz w:val="28"/>
          <w:szCs w:val="28"/>
        </w:rPr>
        <w:t>，</w:t>
      </w:r>
      <w:r>
        <w:rPr>
          <w:rFonts w:ascii="仿宋" w:hAnsi="仿宋" w:eastAsia="仿宋" w:cs="Times New Roman"/>
          <w:bCs/>
          <w:sz w:val="28"/>
          <w:szCs w:val="28"/>
        </w:rPr>
        <w:t>具体见表1-1</w:t>
      </w:r>
      <w:r>
        <w:rPr>
          <w:rFonts w:hint="eastAsia" w:ascii="仿宋" w:hAnsi="仿宋" w:eastAsia="仿宋" w:cs="Times New Roman"/>
          <w:bCs/>
          <w:sz w:val="28"/>
          <w:szCs w:val="28"/>
        </w:rPr>
        <w:t>：</w:t>
      </w:r>
    </w:p>
    <w:p>
      <w:pPr>
        <w:kinsoku w:val="0"/>
        <w:overflowPunct w:val="0"/>
        <w:autoSpaceDE w:val="0"/>
        <w:autoSpaceDN w:val="0"/>
        <w:adjustRightInd w:val="0"/>
        <w:spacing w:before="135"/>
        <w:ind w:left="1662"/>
        <w:jc w:val="center"/>
        <w:rPr>
          <w:rFonts w:ascii="仿宋" w:hAnsi="仿宋" w:eastAsia="仿宋" w:cs="仿宋"/>
          <w:bCs/>
          <w:kern w:val="0"/>
          <w:sz w:val="24"/>
          <w:szCs w:val="24"/>
        </w:rPr>
      </w:pPr>
      <w:r>
        <w:rPr>
          <w:rFonts w:hint="eastAsia" w:ascii="仿宋" w:hAnsi="仿宋" w:eastAsia="仿宋" w:cs="仿宋"/>
          <w:bCs/>
          <w:kern w:val="0"/>
          <w:sz w:val="24"/>
          <w:szCs w:val="24"/>
        </w:rPr>
        <w:t>表</w:t>
      </w:r>
      <w:r>
        <w:rPr>
          <w:rFonts w:ascii="仿宋" w:hAnsi="仿宋" w:eastAsia="仿宋" w:cs="仿宋"/>
          <w:bCs/>
          <w:kern w:val="0"/>
          <w:sz w:val="24"/>
          <w:szCs w:val="24"/>
        </w:rPr>
        <w:t xml:space="preserve">1-1  </w:t>
      </w:r>
      <w:r>
        <w:rPr>
          <w:rFonts w:hint="eastAsia" w:ascii="仿宋" w:hAnsi="仿宋" w:eastAsia="仿宋" w:cs="仿宋"/>
          <w:bCs/>
          <w:kern w:val="0"/>
          <w:sz w:val="24"/>
          <w:szCs w:val="24"/>
        </w:rPr>
        <w:t>云和县耕地现状分析表</w:t>
      </w:r>
    </w:p>
    <w:p>
      <w:pPr>
        <w:kinsoku w:val="0"/>
        <w:overflowPunct w:val="0"/>
        <w:autoSpaceDE w:val="0"/>
        <w:autoSpaceDN w:val="0"/>
        <w:adjustRightInd w:val="0"/>
        <w:spacing w:before="135"/>
        <w:ind w:left="1662"/>
        <w:jc w:val="right"/>
        <w:rPr>
          <w:rFonts w:ascii="仿宋" w:hAnsi="仿宋" w:eastAsia="仿宋" w:cs="仿宋"/>
          <w:bCs/>
          <w:kern w:val="0"/>
          <w:sz w:val="24"/>
          <w:szCs w:val="24"/>
        </w:rPr>
      </w:pPr>
      <w:r>
        <w:rPr>
          <w:rFonts w:hint="eastAsia" w:ascii="仿宋" w:hAnsi="仿宋" w:eastAsia="仿宋" w:cs="仿宋"/>
          <w:bCs/>
          <w:kern w:val="0"/>
          <w:sz w:val="24"/>
          <w:szCs w:val="24"/>
        </w:rPr>
        <w:t>单位：万亩</w:t>
      </w:r>
    </w:p>
    <w:tbl>
      <w:tblPr>
        <w:tblStyle w:val="85"/>
        <w:tblW w:w="5000" w:type="pct"/>
        <w:tblInd w:w="0" w:type="dxa"/>
        <w:tblLayout w:type="autofit"/>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rPr>
          <w:trHeight w:val="285" w:hRule="atLeast"/>
        </w:trPr>
        <w:tc>
          <w:tcPr>
            <w:tcW w:w="250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乡镇</w:t>
            </w:r>
          </w:p>
        </w:tc>
        <w:tc>
          <w:tcPr>
            <w:tcW w:w="250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耕地</w:t>
            </w:r>
          </w:p>
        </w:tc>
      </w:tr>
      <w:tr>
        <w:tblPrEx>
          <w:tblCellMar>
            <w:top w:w="0" w:type="dxa"/>
            <w:left w:w="108" w:type="dxa"/>
            <w:bottom w:w="0" w:type="dxa"/>
            <w:right w:w="108" w:type="dxa"/>
          </w:tblCellMar>
        </w:tblPrEx>
        <w:trPr>
          <w:trHeight w:val="285" w:hRule="atLeast"/>
        </w:trPr>
        <w:tc>
          <w:tcPr>
            <w:tcW w:w="250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安溪畲族乡</w:t>
            </w:r>
          </w:p>
        </w:tc>
        <w:tc>
          <w:tcPr>
            <w:tcW w:w="25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0.34 </w:t>
            </w:r>
          </w:p>
        </w:tc>
      </w:tr>
      <w:tr>
        <w:tblPrEx>
          <w:tblCellMar>
            <w:top w:w="0" w:type="dxa"/>
            <w:left w:w="108" w:type="dxa"/>
            <w:bottom w:w="0" w:type="dxa"/>
            <w:right w:w="108" w:type="dxa"/>
          </w:tblCellMar>
        </w:tblPrEx>
        <w:trPr>
          <w:trHeight w:val="285" w:hRule="atLeast"/>
        </w:trPr>
        <w:tc>
          <w:tcPr>
            <w:tcW w:w="250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白龙山街道</w:t>
            </w:r>
          </w:p>
        </w:tc>
        <w:tc>
          <w:tcPr>
            <w:tcW w:w="25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0.58 </w:t>
            </w:r>
          </w:p>
        </w:tc>
      </w:tr>
      <w:tr>
        <w:tblPrEx>
          <w:tblCellMar>
            <w:top w:w="0" w:type="dxa"/>
            <w:left w:w="108" w:type="dxa"/>
            <w:bottom w:w="0" w:type="dxa"/>
            <w:right w:w="108" w:type="dxa"/>
          </w:tblCellMar>
        </w:tblPrEx>
        <w:trPr>
          <w:trHeight w:val="285" w:hRule="atLeast"/>
        </w:trPr>
        <w:tc>
          <w:tcPr>
            <w:tcW w:w="250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赤石乡</w:t>
            </w:r>
          </w:p>
        </w:tc>
        <w:tc>
          <w:tcPr>
            <w:tcW w:w="25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0.63 </w:t>
            </w:r>
          </w:p>
        </w:tc>
      </w:tr>
      <w:tr>
        <w:tblPrEx>
          <w:tblCellMar>
            <w:top w:w="0" w:type="dxa"/>
            <w:left w:w="108" w:type="dxa"/>
            <w:bottom w:w="0" w:type="dxa"/>
            <w:right w:w="108" w:type="dxa"/>
          </w:tblCellMar>
        </w:tblPrEx>
        <w:trPr>
          <w:trHeight w:val="285" w:hRule="atLeast"/>
        </w:trPr>
        <w:tc>
          <w:tcPr>
            <w:tcW w:w="250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w:t>
            </w:r>
          </w:p>
        </w:tc>
        <w:tc>
          <w:tcPr>
            <w:tcW w:w="25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3.98 </w:t>
            </w:r>
          </w:p>
        </w:tc>
      </w:tr>
      <w:tr>
        <w:tblPrEx>
          <w:tblCellMar>
            <w:top w:w="0" w:type="dxa"/>
            <w:left w:w="108" w:type="dxa"/>
            <w:bottom w:w="0" w:type="dxa"/>
            <w:right w:w="108" w:type="dxa"/>
          </w:tblCellMar>
        </w:tblPrEx>
        <w:trPr>
          <w:trHeight w:val="285" w:hRule="atLeast"/>
        </w:trPr>
        <w:tc>
          <w:tcPr>
            <w:tcW w:w="250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凤凰山街道</w:t>
            </w:r>
          </w:p>
        </w:tc>
        <w:tc>
          <w:tcPr>
            <w:tcW w:w="25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0.51 </w:t>
            </w:r>
          </w:p>
        </w:tc>
      </w:tr>
      <w:tr>
        <w:tblPrEx>
          <w:tblCellMar>
            <w:top w:w="0" w:type="dxa"/>
            <w:left w:w="108" w:type="dxa"/>
            <w:bottom w:w="0" w:type="dxa"/>
            <w:right w:w="108" w:type="dxa"/>
          </w:tblCellMar>
        </w:tblPrEx>
        <w:trPr>
          <w:trHeight w:val="285" w:hRule="atLeast"/>
        </w:trPr>
        <w:tc>
          <w:tcPr>
            <w:tcW w:w="250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浮云街道</w:t>
            </w:r>
          </w:p>
        </w:tc>
        <w:tc>
          <w:tcPr>
            <w:tcW w:w="25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0.26 </w:t>
            </w:r>
          </w:p>
        </w:tc>
      </w:tr>
      <w:tr>
        <w:tblPrEx>
          <w:tblCellMar>
            <w:top w:w="0" w:type="dxa"/>
            <w:left w:w="108" w:type="dxa"/>
            <w:bottom w:w="0" w:type="dxa"/>
            <w:right w:w="108" w:type="dxa"/>
          </w:tblCellMar>
        </w:tblPrEx>
        <w:trPr>
          <w:trHeight w:val="285" w:hRule="atLeast"/>
        </w:trPr>
        <w:tc>
          <w:tcPr>
            <w:tcW w:w="250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紧水滩镇</w:t>
            </w:r>
          </w:p>
        </w:tc>
        <w:tc>
          <w:tcPr>
            <w:tcW w:w="25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1.10 </w:t>
            </w:r>
          </w:p>
        </w:tc>
      </w:tr>
      <w:tr>
        <w:tblPrEx>
          <w:tblCellMar>
            <w:top w:w="0" w:type="dxa"/>
            <w:left w:w="108" w:type="dxa"/>
            <w:bottom w:w="0" w:type="dxa"/>
            <w:right w:w="108" w:type="dxa"/>
          </w:tblCellMar>
        </w:tblPrEx>
        <w:trPr>
          <w:trHeight w:val="285" w:hRule="atLeast"/>
        </w:trPr>
        <w:tc>
          <w:tcPr>
            <w:tcW w:w="250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w:t>
            </w:r>
          </w:p>
        </w:tc>
        <w:tc>
          <w:tcPr>
            <w:tcW w:w="25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1.60 </w:t>
            </w:r>
          </w:p>
        </w:tc>
      </w:tr>
      <w:tr>
        <w:tblPrEx>
          <w:tblCellMar>
            <w:top w:w="0" w:type="dxa"/>
            <w:left w:w="108" w:type="dxa"/>
            <w:bottom w:w="0" w:type="dxa"/>
            <w:right w:w="108" w:type="dxa"/>
          </w:tblCellMar>
        </w:tblPrEx>
        <w:trPr>
          <w:trHeight w:val="285" w:hRule="atLeast"/>
        </w:trPr>
        <w:tc>
          <w:tcPr>
            <w:tcW w:w="250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雾溪畲族乡</w:t>
            </w:r>
          </w:p>
        </w:tc>
        <w:tc>
          <w:tcPr>
            <w:tcW w:w="25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0.39 </w:t>
            </w:r>
          </w:p>
        </w:tc>
      </w:tr>
      <w:tr>
        <w:tblPrEx>
          <w:tblCellMar>
            <w:top w:w="0" w:type="dxa"/>
            <w:left w:w="108" w:type="dxa"/>
            <w:bottom w:w="0" w:type="dxa"/>
            <w:right w:w="108" w:type="dxa"/>
          </w:tblCellMar>
        </w:tblPrEx>
        <w:trPr>
          <w:trHeight w:val="285" w:hRule="atLeast"/>
        </w:trPr>
        <w:tc>
          <w:tcPr>
            <w:tcW w:w="250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元和街道</w:t>
            </w:r>
          </w:p>
        </w:tc>
        <w:tc>
          <w:tcPr>
            <w:tcW w:w="25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1.06 </w:t>
            </w:r>
          </w:p>
        </w:tc>
      </w:tr>
      <w:tr>
        <w:tblPrEx>
          <w:tblCellMar>
            <w:top w:w="0" w:type="dxa"/>
            <w:left w:w="108" w:type="dxa"/>
            <w:bottom w:w="0" w:type="dxa"/>
            <w:right w:w="108" w:type="dxa"/>
          </w:tblCellMar>
        </w:tblPrEx>
        <w:trPr>
          <w:trHeight w:val="285" w:hRule="atLeast"/>
        </w:trPr>
        <w:tc>
          <w:tcPr>
            <w:tcW w:w="250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250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10.45 </w:t>
            </w:r>
          </w:p>
        </w:tc>
      </w:tr>
    </w:tbl>
    <w:p>
      <w:pPr>
        <w:spacing w:line="360" w:lineRule="auto"/>
        <w:ind w:firstLine="560" w:firstLineChars="200"/>
        <w:rPr>
          <w:rFonts w:ascii="仿宋" w:hAnsi="仿宋" w:eastAsia="仿宋" w:cs="Times New Roman"/>
          <w:bCs/>
          <w:sz w:val="28"/>
          <w:szCs w:val="24"/>
        </w:rPr>
      </w:pPr>
      <w:r>
        <w:rPr>
          <w:rFonts w:ascii="仿宋" w:hAnsi="仿宋" w:eastAsia="仿宋" w:cs="Times New Roman"/>
          <w:bCs/>
          <w:sz w:val="28"/>
          <w:szCs w:val="24"/>
        </w:rPr>
        <w:t>根据坡度分级标准，将耕地坡度划分为5个等级，结合全国第三次土地调查成果分析，全</w:t>
      </w:r>
      <w:r>
        <w:rPr>
          <w:rFonts w:hint="eastAsia" w:ascii="仿宋" w:hAnsi="仿宋" w:eastAsia="仿宋" w:cs="Times New Roman"/>
          <w:bCs/>
          <w:sz w:val="28"/>
          <w:szCs w:val="24"/>
        </w:rPr>
        <w:t>县</w:t>
      </w:r>
      <w:r>
        <w:rPr>
          <w:rFonts w:ascii="仿宋" w:hAnsi="仿宋" w:eastAsia="仿宋" w:cs="Times New Roman"/>
          <w:bCs/>
          <w:sz w:val="28"/>
          <w:szCs w:val="24"/>
        </w:rPr>
        <w:t>分布在坡度3级以</w:t>
      </w:r>
      <w:r>
        <w:rPr>
          <w:rFonts w:hint="eastAsia" w:ascii="仿宋" w:hAnsi="仿宋" w:eastAsia="仿宋" w:cs="Times New Roman"/>
          <w:bCs/>
          <w:sz w:val="28"/>
          <w:szCs w:val="24"/>
        </w:rPr>
        <w:t>上</w:t>
      </w:r>
      <w:r>
        <w:rPr>
          <w:rFonts w:ascii="仿宋" w:hAnsi="仿宋" w:eastAsia="仿宋" w:cs="Times New Roman"/>
          <w:bCs/>
          <w:sz w:val="28"/>
          <w:szCs w:val="24"/>
        </w:rPr>
        <w:t>区域的耕地7.08万亩，占全县耕地总面积的68%。</w:t>
      </w:r>
    </w:p>
    <w:p>
      <w:pPr>
        <w:rPr>
          <w:rFonts w:ascii="仿宋" w:hAnsi="仿宋" w:eastAsia="仿宋" w:cs="Times New Roman"/>
          <w:bCs/>
          <w:sz w:val="28"/>
          <w:szCs w:val="28"/>
        </w:rPr>
      </w:pPr>
      <w:r>
        <w:rPr>
          <w:rFonts w:hint="eastAsia" w:ascii="仿宋" w:hAnsi="仿宋" w:eastAsia="仿宋" w:cs="Times New Roman"/>
          <w:bCs/>
          <w:sz w:val="28"/>
          <w:szCs w:val="28"/>
        </w:rPr>
        <w:drawing>
          <wp:inline distT="0" distB="0" distL="0" distR="0">
            <wp:extent cx="5469890" cy="3339465"/>
            <wp:effectExtent l="0" t="0" r="16510" b="1333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kinsoku w:val="0"/>
        <w:overflowPunct w:val="0"/>
        <w:autoSpaceDE w:val="0"/>
        <w:autoSpaceDN w:val="0"/>
        <w:adjustRightInd w:val="0"/>
        <w:spacing w:before="135"/>
        <w:ind w:left="1662"/>
        <w:jc w:val="center"/>
        <w:rPr>
          <w:rFonts w:ascii="仿宋" w:hAnsi="仿宋" w:eastAsia="仿宋" w:cs="仿宋"/>
          <w:bCs/>
          <w:kern w:val="0"/>
          <w:sz w:val="24"/>
          <w:szCs w:val="24"/>
        </w:rPr>
      </w:pPr>
      <w:r>
        <w:rPr>
          <w:rFonts w:hint="eastAsia" w:ascii="仿宋" w:hAnsi="仿宋" w:eastAsia="仿宋" w:cs="仿宋"/>
          <w:bCs/>
          <w:kern w:val="0"/>
          <w:sz w:val="24"/>
          <w:szCs w:val="24"/>
        </w:rPr>
        <w:t>图</w:t>
      </w:r>
      <w:r>
        <w:rPr>
          <w:rFonts w:ascii="仿宋" w:hAnsi="仿宋" w:eastAsia="仿宋" w:cs="仿宋"/>
          <w:bCs/>
          <w:kern w:val="0"/>
          <w:sz w:val="24"/>
          <w:szCs w:val="24"/>
        </w:rPr>
        <w:t xml:space="preserve">1-3  </w:t>
      </w:r>
      <w:r>
        <w:rPr>
          <w:rFonts w:hint="eastAsia" w:ascii="仿宋" w:hAnsi="仿宋" w:eastAsia="仿宋" w:cs="仿宋"/>
          <w:bCs/>
          <w:kern w:val="0"/>
          <w:sz w:val="24"/>
          <w:szCs w:val="24"/>
        </w:rPr>
        <w:t>云和县耕地坡度级别分布图</w:t>
      </w:r>
    </w:p>
    <w:p>
      <w:pPr>
        <w:ind w:firstLine="555"/>
        <w:rPr>
          <w:rFonts w:ascii="仿宋" w:hAnsi="仿宋" w:eastAsia="仿宋" w:cs="Times New Roman"/>
          <w:bCs/>
          <w:sz w:val="28"/>
          <w:szCs w:val="28"/>
        </w:rPr>
      </w:pPr>
      <w:r>
        <w:rPr>
          <w:rFonts w:hint="eastAsia" w:ascii="仿宋" w:hAnsi="仿宋" w:eastAsia="仿宋" w:cs="Times New Roman"/>
          <w:bCs/>
          <w:sz w:val="28"/>
          <w:szCs w:val="28"/>
        </w:rPr>
        <w:t>（四）十二五以来高标准农田建设情况</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十二五”以来，云和县委、县政府高度重视高标准农田建设，全县积极组织申报并整合各方面的项目资金，加大农业基础设施投入，通过农业综合开发、高标准粮田等项目的实施，采取治水、改土、整田等工程、生物和技术措施，提高了农田配套水平和保障能力，提升了农田产出率和效益，对全县农业农村经济发展和生态环境保护和改善起到了重要作用。“十二五”以来，云和县已建高标准农田</w:t>
      </w:r>
      <w:r>
        <w:rPr>
          <w:rFonts w:ascii="仿宋" w:hAnsi="仿宋" w:eastAsia="仿宋" w:cs="Times New Roman"/>
          <w:bCs/>
          <w:sz w:val="28"/>
          <w:szCs w:val="28"/>
        </w:rPr>
        <w:t>8.12</w:t>
      </w:r>
      <w:r>
        <w:rPr>
          <w:rFonts w:hint="eastAsia" w:ascii="仿宋" w:hAnsi="仿宋" w:eastAsia="仿宋" w:cs="Times New Roman"/>
          <w:bCs/>
          <w:sz w:val="28"/>
          <w:szCs w:val="28"/>
        </w:rPr>
        <w:t>万亩，其中崇头镇已建高标准农田面积最多，占全县总面积的4</w:t>
      </w:r>
      <w:r>
        <w:rPr>
          <w:rFonts w:ascii="仿宋" w:hAnsi="仿宋" w:eastAsia="仿宋" w:cs="Times New Roman"/>
          <w:bCs/>
          <w:sz w:val="28"/>
          <w:szCs w:val="28"/>
        </w:rPr>
        <w:t>9</w:t>
      </w:r>
      <w:r>
        <w:rPr>
          <w:rFonts w:hint="eastAsia" w:ascii="仿宋" w:hAnsi="仿宋" w:eastAsia="仿宋" w:cs="Times New Roman"/>
          <w:bCs/>
          <w:sz w:val="28"/>
          <w:szCs w:val="28"/>
        </w:rPr>
        <w:t>%。</w:t>
      </w:r>
    </w:p>
    <w:p>
      <w:pPr>
        <w:kinsoku w:val="0"/>
        <w:overflowPunct w:val="0"/>
        <w:autoSpaceDE w:val="0"/>
        <w:autoSpaceDN w:val="0"/>
        <w:adjustRightInd w:val="0"/>
        <w:spacing w:before="135"/>
        <w:ind w:firstLine="720" w:firstLineChars="300"/>
        <w:jc w:val="left"/>
        <w:rPr>
          <w:rFonts w:ascii="仿宋" w:hAnsi="仿宋" w:eastAsia="仿宋" w:cs="仿宋"/>
          <w:bCs/>
          <w:kern w:val="0"/>
          <w:sz w:val="24"/>
          <w:szCs w:val="24"/>
        </w:rPr>
      </w:pPr>
      <w:r>
        <w:rPr>
          <w:rFonts w:hint="eastAsia" w:ascii="仿宋" w:hAnsi="仿宋" w:eastAsia="仿宋" w:cs="仿宋"/>
          <w:bCs/>
          <w:kern w:val="0"/>
          <w:sz w:val="24"/>
          <w:szCs w:val="24"/>
        </w:rPr>
        <w:t>表</w:t>
      </w:r>
      <w:r>
        <w:rPr>
          <w:rFonts w:ascii="仿宋" w:hAnsi="仿宋" w:eastAsia="仿宋" w:cs="Times New Roman"/>
          <w:bCs/>
          <w:kern w:val="0"/>
          <w:sz w:val="24"/>
          <w:szCs w:val="24"/>
        </w:rPr>
        <w:t xml:space="preserve">1-2 </w:t>
      </w:r>
      <w:r>
        <w:rPr>
          <w:rFonts w:hint="eastAsia" w:ascii="仿宋" w:hAnsi="仿宋" w:eastAsia="仿宋" w:cs="仿宋"/>
          <w:bCs/>
          <w:kern w:val="0"/>
          <w:sz w:val="24"/>
          <w:szCs w:val="24"/>
        </w:rPr>
        <w:t>云和县“十二五”以来高标准农田建设情况统计表</w:t>
      </w:r>
    </w:p>
    <w:p>
      <w:pPr>
        <w:kinsoku w:val="0"/>
        <w:overflowPunct w:val="0"/>
        <w:autoSpaceDE w:val="0"/>
        <w:autoSpaceDN w:val="0"/>
        <w:adjustRightInd w:val="0"/>
        <w:spacing w:before="5" w:after="2"/>
        <w:ind w:right="658"/>
        <w:jc w:val="right"/>
        <w:rPr>
          <w:rFonts w:ascii="仿宋" w:hAnsi="仿宋" w:eastAsia="仿宋" w:cs="仿宋"/>
          <w:bCs/>
          <w:kern w:val="0"/>
          <w:sz w:val="24"/>
          <w:szCs w:val="24"/>
        </w:rPr>
      </w:pPr>
      <w:r>
        <w:rPr>
          <w:rFonts w:hint="eastAsia" w:ascii="仿宋" w:hAnsi="仿宋" w:eastAsia="仿宋" w:cs="仿宋"/>
          <w:bCs/>
          <w:kern w:val="0"/>
          <w:sz w:val="24"/>
          <w:szCs w:val="24"/>
        </w:rPr>
        <w:t>单位：万亩</w:t>
      </w:r>
    </w:p>
    <w:tbl>
      <w:tblPr>
        <w:tblStyle w:val="85"/>
        <w:tblW w:w="5000" w:type="pct"/>
        <w:tblInd w:w="0" w:type="dxa"/>
        <w:tblLayout w:type="autofit"/>
        <w:tblCellMar>
          <w:top w:w="0" w:type="dxa"/>
          <w:left w:w="108" w:type="dxa"/>
          <w:bottom w:w="0" w:type="dxa"/>
          <w:right w:w="108" w:type="dxa"/>
        </w:tblCellMar>
      </w:tblPr>
      <w:tblGrid>
        <w:gridCol w:w="2179"/>
        <w:gridCol w:w="1456"/>
        <w:gridCol w:w="1894"/>
        <w:gridCol w:w="1413"/>
        <w:gridCol w:w="1580"/>
      </w:tblGrid>
      <w:tr>
        <w:tblPrEx>
          <w:tblCellMar>
            <w:top w:w="0" w:type="dxa"/>
            <w:left w:w="108" w:type="dxa"/>
            <w:bottom w:w="0" w:type="dxa"/>
            <w:right w:w="108" w:type="dxa"/>
          </w:tblCellMar>
        </w:tblPrEx>
        <w:trPr>
          <w:trHeight w:val="540" w:hRule="atLeast"/>
        </w:trPr>
        <w:tc>
          <w:tcPr>
            <w:tcW w:w="12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乡镇</w:t>
            </w:r>
          </w:p>
        </w:tc>
        <w:tc>
          <w:tcPr>
            <w:tcW w:w="85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耕地</w:t>
            </w:r>
          </w:p>
        </w:tc>
        <w:tc>
          <w:tcPr>
            <w:tcW w:w="111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已建高标准农田</w:t>
            </w:r>
          </w:p>
        </w:tc>
        <w:tc>
          <w:tcPr>
            <w:tcW w:w="82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粮食功能区</w:t>
            </w:r>
          </w:p>
        </w:tc>
        <w:tc>
          <w:tcPr>
            <w:tcW w:w="92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永久基本农田</w:t>
            </w:r>
          </w:p>
        </w:tc>
      </w:tr>
      <w:tr>
        <w:tblPrEx>
          <w:tblCellMar>
            <w:top w:w="0" w:type="dxa"/>
            <w:left w:w="108" w:type="dxa"/>
            <w:bottom w:w="0" w:type="dxa"/>
            <w:right w:w="108" w:type="dxa"/>
          </w:tblCellMar>
        </w:tblPrEx>
        <w:trPr>
          <w:trHeight w:val="285" w:hRule="atLeast"/>
        </w:trPr>
        <w:tc>
          <w:tcPr>
            <w:tcW w:w="12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安溪畲族乡</w:t>
            </w:r>
          </w:p>
        </w:tc>
        <w:tc>
          <w:tcPr>
            <w:tcW w:w="85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0.34</w:t>
            </w:r>
          </w:p>
        </w:tc>
        <w:tc>
          <w:tcPr>
            <w:tcW w:w="1111"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0.51</w:t>
            </w:r>
          </w:p>
        </w:tc>
        <w:tc>
          <w:tcPr>
            <w:tcW w:w="82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0.12 </w:t>
            </w:r>
          </w:p>
        </w:tc>
        <w:tc>
          <w:tcPr>
            <w:tcW w:w="927"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0.53 </w:t>
            </w:r>
          </w:p>
        </w:tc>
      </w:tr>
      <w:tr>
        <w:tblPrEx>
          <w:tblCellMar>
            <w:top w:w="0" w:type="dxa"/>
            <w:left w:w="108" w:type="dxa"/>
            <w:bottom w:w="0" w:type="dxa"/>
            <w:right w:w="108" w:type="dxa"/>
          </w:tblCellMar>
        </w:tblPrEx>
        <w:trPr>
          <w:trHeight w:val="285" w:hRule="atLeast"/>
        </w:trPr>
        <w:tc>
          <w:tcPr>
            <w:tcW w:w="12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白龙山街道</w:t>
            </w:r>
          </w:p>
        </w:tc>
        <w:tc>
          <w:tcPr>
            <w:tcW w:w="85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0.58</w:t>
            </w:r>
          </w:p>
        </w:tc>
        <w:tc>
          <w:tcPr>
            <w:tcW w:w="1111"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0.29</w:t>
            </w:r>
          </w:p>
        </w:tc>
        <w:tc>
          <w:tcPr>
            <w:tcW w:w="82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0.01 </w:t>
            </w:r>
          </w:p>
        </w:tc>
        <w:tc>
          <w:tcPr>
            <w:tcW w:w="927"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0.62 </w:t>
            </w:r>
          </w:p>
        </w:tc>
      </w:tr>
      <w:tr>
        <w:tblPrEx>
          <w:tblCellMar>
            <w:top w:w="0" w:type="dxa"/>
            <w:left w:w="108" w:type="dxa"/>
            <w:bottom w:w="0" w:type="dxa"/>
            <w:right w:w="108" w:type="dxa"/>
          </w:tblCellMar>
        </w:tblPrEx>
        <w:trPr>
          <w:trHeight w:val="285" w:hRule="atLeast"/>
        </w:trPr>
        <w:tc>
          <w:tcPr>
            <w:tcW w:w="12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赤石乡</w:t>
            </w:r>
          </w:p>
        </w:tc>
        <w:tc>
          <w:tcPr>
            <w:tcW w:w="85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0.63</w:t>
            </w:r>
          </w:p>
        </w:tc>
        <w:tc>
          <w:tcPr>
            <w:tcW w:w="1111"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0.31</w:t>
            </w:r>
          </w:p>
        </w:tc>
        <w:tc>
          <w:tcPr>
            <w:tcW w:w="82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0.02 </w:t>
            </w:r>
          </w:p>
        </w:tc>
        <w:tc>
          <w:tcPr>
            <w:tcW w:w="927"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0.44 </w:t>
            </w:r>
          </w:p>
        </w:tc>
      </w:tr>
      <w:tr>
        <w:tblPrEx>
          <w:tblCellMar>
            <w:top w:w="0" w:type="dxa"/>
            <w:left w:w="108" w:type="dxa"/>
            <w:bottom w:w="0" w:type="dxa"/>
            <w:right w:w="108" w:type="dxa"/>
          </w:tblCellMar>
        </w:tblPrEx>
        <w:trPr>
          <w:trHeight w:val="285" w:hRule="atLeast"/>
        </w:trPr>
        <w:tc>
          <w:tcPr>
            <w:tcW w:w="12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崇头镇</w:t>
            </w:r>
          </w:p>
        </w:tc>
        <w:tc>
          <w:tcPr>
            <w:tcW w:w="85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3.98</w:t>
            </w:r>
          </w:p>
        </w:tc>
        <w:tc>
          <w:tcPr>
            <w:tcW w:w="1111"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3.97</w:t>
            </w:r>
          </w:p>
        </w:tc>
        <w:tc>
          <w:tcPr>
            <w:tcW w:w="82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0.58 </w:t>
            </w:r>
          </w:p>
        </w:tc>
        <w:tc>
          <w:tcPr>
            <w:tcW w:w="927"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3.65 </w:t>
            </w:r>
          </w:p>
        </w:tc>
      </w:tr>
      <w:tr>
        <w:tblPrEx>
          <w:tblCellMar>
            <w:top w:w="0" w:type="dxa"/>
            <w:left w:w="108" w:type="dxa"/>
            <w:bottom w:w="0" w:type="dxa"/>
            <w:right w:w="108" w:type="dxa"/>
          </w:tblCellMar>
        </w:tblPrEx>
        <w:trPr>
          <w:trHeight w:val="285" w:hRule="atLeast"/>
        </w:trPr>
        <w:tc>
          <w:tcPr>
            <w:tcW w:w="12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凤凰山街道</w:t>
            </w:r>
          </w:p>
        </w:tc>
        <w:tc>
          <w:tcPr>
            <w:tcW w:w="85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0.51</w:t>
            </w:r>
          </w:p>
        </w:tc>
        <w:tc>
          <w:tcPr>
            <w:tcW w:w="1111"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0.11</w:t>
            </w:r>
          </w:p>
        </w:tc>
        <w:tc>
          <w:tcPr>
            <w:tcW w:w="82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0.02 </w:t>
            </w:r>
          </w:p>
        </w:tc>
        <w:tc>
          <w:tcPr>
            <w:tcW w:w="927"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0.42 </w:t>
            </w:r>
          </w:p>
        </w:tc>
      </w:tr>
      <w:tr>
        <w:tblPrEx>
          <w:tblCellMar>
            <w:top w:w="0" w:type="dxa"/>
            <w:left w:w="108" w:type="dxa"/>
            <w:bottom w:w="0" w:type="dxa"/>
            <w:right w:w="108" w:type="dxa"/>
          </w:tblCellMar>
        </w:tblPrEx>
        <w:trPr>
          <w:trHeight w:val="285" w:hRule="atLeast"/>
        </w:trPr>
        <w:tc>
          <w:tcPr>
            <w:tcW w:w="12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浮云街道</w:t>
            </w:r>
          </w:p>
        </w:tc>
        <w:tc>
          <w:tcPr>
            <w:tcW w:w="85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0.26</w:t>
            </w:r>
          </w:p>
        </w:tc>
        <w:tc>
          <w:tcPr>
            <w:tcW w:w="1111"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0.18</w:t>
            </w:r>
          </w:p>
        </w:tc>
        <w:tc>
          <w:tcPr>
            <w:tcW w:w="82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0.01 </w:t>
            </w:r>
          </w:p>
        </w:tc>
        <w:tc>
          <w:tcPr>
            <w:tcW w:w="927"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0.21 </w:t>
            </w:r>
          </w:p>
        </w:tc>
      </w:tr>
      <w:tr>
        <w:tblPrEx>
          <w:tblCellMar>
            <w:top w:w="0" w:type="dxa"/>
            <w:left w:w="108" w:type="dxa"/>
            <w:bottom w:w="0" w:type="dxa"/>
            <w:right w:w="108" w:type="dxa"/>
          </w:tblCellMar>
        </w:tblPrEx>
        <w:trPr>
          <w:trHeight w:val="285" w:hRule="atLeast"/>
        </w:trPr>
        <w:tc>
          <w:tcPr>
            <w:tcW w:w="12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紧水滩镇</w:t>
            </w:r>
          </w:p>
        </w:tc>
        <w:tc>
          <w:tcPr>
            <w:tcW w:w="85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1.1</w:t>
            </w:r>
          </w:p>
        </w:tc>
        <w:tc>
          <w:tcPr>
            <w:tcW w:w="1111"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0.84</w:t>
            </w:r>
          </w:p>
        </w:tc>
        <w:tc>
          <w:tcPr>
            <w:tcW w:w="82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0.09 </w:t>
            </w:r>
          </w:p>
        </w:tc>
        <w:tc>
          <w:tcPr>
            <w:tcW w:w="927"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0.88 </w:t>
            </w:r>
          </w:p>
        </w:tc>
      </w:tr>
      <w:tr>
        <w:tblPrEx>
          <w:tblCellMar>
            <w:top w:w="0" w:type="dxa"/>
            <w:left w:w="108" w:type="dxa"/>
            <w:bottom w:w="0" w:type="dxa"/>
            <w:right w:w="108" w:type="dxa"/>
          </w:tblCellMar>
        </w:tblPrEx>
        <w:trPr>
          <w:trHeight w:val="285" w:hRule="atLeast"/>
        </w:trPr>
        <w:tc>
          <w:tcPr>
            <w:tcW w:w="12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石塘镇</w:t>
            </w:r>
          </w:p>
        </w:tc>
        <w:tc>
          <w:tcPr>
            <w:tcW w:w="85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1.6</w:t>
            </w:r>
          </w:p>
        </w:tc>
        <w:tc>
          <w:tcPr>
            <w:tcW w:w="1111"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1.03</w:t>
            </w:r>
          </w:p>
        </w:tc>
        <w:tc>
          <w:tcPr>
            <w:tcW w:w="82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0.06 </w:t>
            </w:r>
          </w:p>
        </w:tc>
        <w:tc>
          <w:tcPr>
            <w:tcW w:w="927"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1.38 </w:t>
            </w:r>
          </w:p>
        </w:tc>
      </w:tr>
      <w:tr>
        <w:tblPrEx>
          <w:tblCellMar>
            <w:top w:w="0" w:type="dxa"/>
            <w:left w:w="108" w:type="dxa"/>
            <w:bottom w:w="0" w:type="dxa"/>
            <w:right w:w="108" w:type="dxa"/>
          </w:tblCellMar>
        </w:tblPrEx>
        <w:trPr>
          <w:trHeight w:val="285" w:hRule="atLeast"/>
        </w:trPr>
        <w:tc>
          <w:tcPr>
            <w:tcW w:w="12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雾溪畲族乡</w:t>
            </w:r>
          </w:p>
        </w:tc>
        <w:tc>
          <w:tcPr>
            <w:tcW w:w="85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0.39</w:t>
            </w:r>
          </w:p>
        </w:tc>
        <w:tc>
          <w:tcPr>
            <w:tcW w:w="1111"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0.1</w:t>
            </w:r>
          </w:p>
        </w:tc>
        <w:tc>
          <w:tcPr>
            <w:tcW w:w="82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0.02 </w:t>
            </w:r>
          </w:p>
        </w:tc>
        <w:tc>
          <w:tcPr>
            <w:tcW w:w="927"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0.33 </w:t>
            </w:r>
          </w:p>
        </w:tc>
      </w:tr>
      <w:tr>
        <w:tblPrEx>
          <w:tblCellMar>
            <w:top w:w="0" w:type="dxa"/>
            <w:left w:w="108" w:type="dxa"/>
            <w:bottom w:w="0" w:type="dxa"/>
            <w:right w:w="108" w:type="dxa"/>
          </w:tblCellMar>
        </w:tblPrEx>
        <w:trPr>
          <w:trHeight w:val="285" w:hRule="atLeast"/>
        </w:trPr>
        <w:tc>
          <w:tcPr>
            <w:tcW w:w="12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元和街道</w:t>
            </w:r>
          </w:p>
        </w:tc>
        <w:tc>
          <w:tcPr>
            <w:tcW w:w="85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1.06</w:t>
            </w:r>
          </w:p>
        </w:tc>
        <w:tc>
          <w:tcPr>
            <w:tcW w:w="1111"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0.77</w:t>
            </w:r>
          </w:p>
        </w:tc>
        <w:tc>
          <w:tcPr>
            <w:tcW w:w="82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0.08 </w:t>
            </w:r>
          </w:p>
        </w:tc>
        <w:tc>
          <w:tcPr>
            <w:tcW w:w="927"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0.75 </w:t>
            </w:r>
          </w:p>
        </w:tc>
      </w:tr>
      <w:tr>
        <w:tblPrEx>
          <w:tblCellMar>
            <w:top w:w="0" w:type="dxa"/>
            <w:left w:w="108" w:type="dxa"/>
            <w:bottom w:w="0" w:type="dxa"/>
            <w:right w:w="108" w:type="dxa"/>
          </w:tblCellMar>
        </w:tblPrEx>
        <w:trPr>
          <w:trHeight w:val="285" w:hRule="atLeast"/>
        </w:trPr>
        <w:tc>
          <w:tcPr>
            <w:tcW w:w="12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总计</w:t>
            </w:r>
          </w:p>
        </w:tc>
        <w:tc>
          <w:tcPr>
            <w:tcW w:w="854"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10.45</w:t>
            </w:r>
          </w:p>
        </w:tc>
        <w:tc>
          <w:tcPr>
            <w:tcW w:w="1111"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Cs w:val="21"/>
              </w:rPr>
            </w:pPr>
            <w:r>
              <w:rPr>
                <w:rFonts w:hint="eastAsia" w:ascii="仿宋" w:hAnsi="仿宋" w:eastAsia="仿宋" w:cs="宋体"/>
                <w:color w:val="000000"/>
                <w:kern w:val="0"/>
                <w:szCs w:val="21"/>
              </w:rPr>
              <w:t>8.12</w:t>
            </w:r>
          </w:p>
        </w:tc>
        <w:tc>
          <w:tcPr>
            <w:tcW w:w="82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1.00 </w:t>
            </w:r>
          </w:p>
        </w:tc>
        <w:tc>
          <w:tcPr>
            <w:tcW w:w="927"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rPr>
            </w:pPr>
            <w:r>
              <w:rPr>
                <w:rFonts w:hint="eastAsia" w:ascii="仿宋" w:hAnsi="仿宋" w:eastAsia="仿宋" w:cs="宋体"/>
                <w:color w:val="000000"/>
                <w:kern w:val="0"/>
                <w:sz w:val="22"/>
              </w:rPr>
              <w:t xml:space="preserve">9.20 </w:t>
            </w:r>
          </w:p>
        </w:tc>
      </w:tr>
    </w:tbl>
    <w:p>
      <w:pPr>
        <w:ind w:firstLine="555"/>
        <w:jc w:val="right"/>
        <w:rPr>
          <w:rFonts w:ascii="仿宋" w:hAnsi="仿宋" w:eastAsia="仿宋" w:cs="Times New Roman"/>
          <w:bCs/>
          <w:sz w:val="24"/>
          <w:szCs w:val="28"/>
        </w:rPr>
      </w:pPr>
    </w:p>
    <w:p>
      <w:pPr>
        <w:jc w:val="right"/>
        <w:rPr>
          <w:rFonts w:ascii="仿宋" w:hAnsi="仿宋" w:eastAsia="仿宋" w:cs="Times New Roman"/>
          <w:bCs/>
          <w:sz w:val="24"/>
          <w:szCs w:val="28"/>
        </w:rPr>
      </w:pPr>
      <w:r>
        <w:rPr>
          <w:rFonts w:ascii="仿宋" w:hAnsi="仿宋" w:eastAsia="仿宋"/>
          <w:bCs/>
        </w:rPr>
        <w:drawing>
          <wp:inline distT="0" distB="0" distL="0" distR="0">
            <wp:extent cx="5309870" cy="6168390"/>
            <wp:effectExtent l="0" t="0" r="5080" b="381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6"/>
                    <a:srcRect l="18699" t="2016" r="17885" b="870"/>
                    <a:stretch>
                      <a:fillRect/>
                    </a:stretch>
                  </pic:blipFill>
                  <pic:spPr>
                    <a:xfrm>
                      <a:off x="0" y="0"/>
                      <a:ext cx="5325480" cy="6186726"/>
                    </a:xfrm>
                    <a:prstGeom prst="rect">
                      <a:avLst/>
                    </a:prstGeom>
                    <a:ln>
                      <a:noFill/>
                    </a:ln>
                  </pic:spPr>
                </pic:pic>
              </a:graphicData>
            </a:graphic>
          </wp:inline>
        </w:drawing>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图</w:t>
      </w:r>
      <w:r>
        <w:rPr>
          <w:rFonts w:ascii="仿宋" w:hAnsi="仿宋" w:eastAsia="仿宋" w:cs="Times New Roman"/>
          <w:bCs/>
          <w:sz w:val="24"/>
          <w:szCs w:val="28"/>
        </w:rPr>
        <w:t xml:space="preserve">1-4 </w:t>
      </w:r>
      <w:r>
        <w:rPr>
          <w:rFonts w:hint="eastAsia" w:ascii="仿宋" w:hAnsi="仿宋" w:eastAsia="仿宋" w:cs="Times New Roman"/>
          <w:bCs/>
          <w:sz w:val="24"/>
          <w:szCs w:val="28"/>
        </w:rPr>
        <w:t>云和县已建高标农分布图</w:t>
      </w:r>
    </w:p>
    <w:p>
      <w:pPr>
        <w:keepNext/>
        <w:keepLines/>
        <w:spacing w:before="260" w:after="260" w:line="416" w:lineRule="auto"/>
        <w:jc w:val="left"/>
        <w:outlineLvl w:val="1"/>
        <w:rPr>
          <w:rFonts w:ascii="仿宋" w:hAnsi="仿宋" w:eastAsia="仿宋" w:cs="Times New Roman"/>
          <w:b/>
          <w:sz w:val="30"/>
          <w:szCs w:val="30"/>
        </w:rPr>
      </w:pPr>
      <w:bookmarkStart w:id="12" w:name="_Toc99549030"/>
      <w:r>
        <w:rPr>
          <w:rFonts w:hint="eastAsia" w:ascii="仿宋" w:hAnsi="仿宋" w:eastAsia="仿宋" w:cs="Times New Roman"/>
          <w:b/>
          <w:sz w:val="30"/>
          <w:szCs w:val="30"/>
        </w:rPr>
        <w:t>二、发展形势</w:t>
      </w:r>
      <w:bookmarkEnd w:id="12"/>
    </w:p>
    <w:p>
      <w:pPr>
        <w:ind w:firstLine="555"/>
        <w:rPr>
          <w:rFonts w:ascii="仿宋" w:hAnsi="仿宋" w:eastAsia="仿宋" w:cs="Times New Roman"/>
          <w:bCs/>
          <w:sz w:val="28"/>
          <w:szCs w:val="28"/>
        </w:rPr>
      </w:pPr>
      <w:r>
        <w:rPr>
          <w:rFonts w:hint="eastAsia" w:ascii="仿宋" w:hAnsi="仿宋" w:eastAsia="仿宋" w:cs="Times New Roman"/>
          <w:bCs/>
          <w:sz w:val="28"/>
          <w:szCs w:val="28"/>
        </w:rPr>
        <w:t>（一）困难与问题</w:t>
      </w:r>
    </w:p>
    <w:p>
      <w:pPr>
        <w:ind w:firstLine="555"/>
        <w:rPr>
          <w:rFonts w:ascii="仿宋" w:hAnsi="仿宋" w:eastAsia="仿宋" w:cs="Times New Roman"/>
          <w:bCs/>
          <w:sz w:val="28"/>
          <w:szCs w:val="28"/>
        </w:rPr>
      </w:pPr>
      <w:r>
        <w:rPr>
          <w:rFonts w:hint="eastAsia" w:ascii="仿宋" w:hAnsi="仿宋" w:eastAsia="仿宋" w:cs="Times New Roman"/>
          <w:bCs/>
          <w:sz w:val="28"/>
          <w:szCs w:val="28"/>
        </w:rPr>
        <w:t>尽管云和县高标准农田建设中取得了很大成效，但是在建设和推进中也存在不少问题：</w:t>
      </w:r>
    </w:p>
    <w:p>
      <w:pPr>
        <w:ind w:firstLine="555"/>
        <w:rPr>
          <w:rFonts w:ascii="仿宋" w:hAnsi="仿宋" w:eastAsia="仿宋" w:cs="Times New Roman"/>
          <w:bCs/>
          <w:sz w:val="28"/>
          <w:szCs w:val="28"/>
        </w:rPr>
      </w:pPr>
      <w:r>
        <w:rPr>
          <w:rFonts w:hint="eastAsia" w:ascii="仿宋" w:hAnsi="仿宋" w:eastAsia="仿宋" w:cs="Times New Roman"/>
          <w:bCs/>
          <w:sz w:val="28"/>
          <w:szCs w:val="28"/>
        </w:rPr>
        <w:t>1.</w:t>
      </w:r>
      <w:r>
        <w:rPr>
          <w:rFonts w:hint="eastAsia" w:ascii="仿宋" w:hAnsi="仿宋" w:eastAsia="仿宋" w:cs="Times New Roman"/>
          <w:bCs/>
          <w:sz w:val="28"/>
          <w:szCs w:val="28"/>
        </w:rPr>
        <w:tab/>
      </w:r>
      <w:r>
        <w:rPr>
          <w:rFonts w:hint="eastAsia" w:ascii="仿宋" w:hAnsi="仿宋" w:eastAsia="仿宋" w:cs="Times New Roman"/>
          <w:bCs/>
          <w:sz w:val="28"/>
          <w:szCs w:val="28"/>
        </w:rPr>
        <w:t>耕地基础条件较差。云和县多山地丘陵，人均耕地面积少，土地资源约束明显。早期建设的高标准农田大多位于基础条件相对较好的区域，待建耕地基础条件较差。部分已经实施项目的农田建设质量标准不高，土壤肥力达不到高标准农田要求，耕地等级低，部分地区耕地土壤有机质呈下降趋势，化肥使用效率下降。耕地细片化问题较突出，田坎、沟渠、田间道路等设施占地面积的比例较高。</w:t>
      </w:r>
    </w:p>
    <w:p>
      <w:pPr>
        <w:rPr>
          <w:rFonts w:ascii="仿宋" w:hAnsi="仿宋" w:eastAsia="仿宋" w:cs="Times New Roman"/>
          <w:bCs/>
          <w:sz w:val="28"/>
          <w:szCs w:val="28"/>
        </w:rPr>
      </w:pPr>
      <w:r>
        <w:rPr>
          <w:rFonts w:hint="eastAsia" w:ascii="仿宋" w:hAnsi="仿宋" w:eastAsia="仿宋" w:cs="Times New Roman"/>
          <w:bCs/>
          <w:sz w:val="20"/>
          <w:szCs w:val="20"/>
        </w:rPr>
        <w:drawing>
          <wp:inline distT="0" distB="0" distL="0" distR="0">
            <wp:extent cx="5241925" cy="2849245"/>
            <wp:effectExtent l="0" t="0" r="0" b="0"/>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noChangeArrowheads="true"/>
                    </pic:cNvPicPr>
                  </pic:nvPicPr>
                  <pic:blipFill>
                    <a:blip r:embed="rId17">
                      <a:extLst>
                        <a:ext uri="{28A0092B-C50C-407E-A947-70E740481C1C}">
                          <a14:useLocalDpi xmlns:a14="http://schemas.microsoft.com/office/drawing/2010/main" val="false"/>
                        </a:ext>
                      </a:extLst>
                    </a:blip>
                    <a:srcRect/>
                    <a:stretch>
                      <a:fillRect/>
                    </a:stretch>
                  </pic:blipFill>
                  <pic:spPr>
                    <a:xfrm>
                      <a:off x="0" y="0"/>
                      <a:ext cx="5246922" cy="2852242"/>
                    </a:xfrm>
                    <a:prstGeom prst="rect">
                      <a:avLst/>
                    </a:prstGeom>
                    <a:noFill/>
                    <a:ln>
                      <a:noFill/>
                    </a:ln>
                  </pic:spPr>
                </pic:pic>
              </a:graphicData>
            </a:graphic>
          </wp:inline>
        </w:drawing>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图</w:t>
      </w:r>
      <w:r>
        <w:rPr>
          <w:rFonts w:ascii="仿宋" w:hAnsi="仿宋" w:eastAsia="仿宋" w:cs="Times New Roman"/>
          <w:bCs/>
          <w:sz w:val="24"/>
          <w:szCs w:val="28"/>
        </w:rPr>
        <w:t>1</w:t>
      </w:r>
      <w:r>
        <w:rPr>
          <w:rFonts w:hint="eastAsia" w:ascii="仿宋" w:hAnsi="仿宋" w:eastAsia="仿宋" w:cs="Times New Roman"/>
          <w:bCs/>
          <w:sz w:val="24"/>
          <w:szCs w:val="28"/>
        </w:rPr>
        <w:t>-</w:t>
      </w:r>
      <w:r>
        <w:rPr>
          <w:rFonts w:ascii="仿宋" w:hAnsi="仿宋" w:eastAsia="仿宋" w:cs="Times New Roman"/>
          <w:bCs/>
          <w:sz w:val="24"/>
          <w:szCs w:val="28"/>
        </w:rPr>
        <w:t>5</w:t>
      </w:r>
      <w:r>
        <w:rPr>
          <w:rFonts w:hint="eastAsia" w:ascii="仿宋" w:hAnsi="仿宋" w:eastAsia="仿宋" w:cs="Times New Roman"/>
          <w:bCs/>
          <w:sz w:val="24"/>
          <w:szCs w:val="28"/>
        </w:rPr>
        <w:t>耕地现状图</w:t>
      </w:r>
    </w:p>
    <w:p>
      <w:pPr>
        <w:ind w:firstLine="555"/>
        <w:rPr>
          <w:rFonts w:ascii="仿宋" w:hAnsi="仿宋" w:eastAsia="仿宋" w:cs="Times New Roman"/>
          <w:bCs/>
          <w:sz w:val="28"/>
          <w:szCs w:val="28"/>
        </w:rPr>
      </w:pPr>
      <w:r>
        <w:rPr>
          <w:rFonts w:hint="eastAsia" w:ascii="仿宋" w:hAnsi="仿宋" w:eastAsia="仿宋" w:cs="Times New Roman"/>
          <w:bCs/>
          <w:sz w:val="28"/>
          <w:szCs w:val="28"/>
        </w:rPr>
        <w:t>2</w:t>
      </w:r>
      <w:r>
        <w:rPr>
          <w:rFonts w:ascii="仿宋" w:hAnsi="仿宋" w:eastAsia="仿宋" w:cs="Times New Roman"/>
          <w:bCs/>
          <w:sz w:val="28"/>
          <w:szCs w:val="28"/>
        </w:rPr>
        <w:t>.</w:t>
      </w:r>
      <w:r>
        <w:rPr>
          <w:rFonts w:hint="eastAsia" w:ascii="仿宋" w:hAnsi="仿宋" w:eastAsia="仿宋" w:cs="Times New Roman"/>
          <w:bCs/>
          <w:sz w:val="28"/>
          <w:szCs w:val="28"/>
        </w:rPr>
        <w:t>农田配套设施不完备。田间道路不配套，机耕道“窄、差、无”、农机“下地难”问题仍然存在。部分现有机耕道路建设设计不规范、标准不高、养护跟不上、损毁较严重，难以满足大型化、专业化现代农机作业需要。少数地区农田输配电设施建设滞后，农田灌溉成本高、效率低。</w:t>
      </w:r>
    </w:p>
    <w:p>
      <w:pPr>
        <w:widowControl/>
        <w:spacing w:line="4220" w:lineRule="atLeast"/>
        <w:jc w:val="left"/>
        <w:rPr>
          <w:rFonts w:ascii="仿宋" w:hAnsi="仿宋" w:eastAsia="仿宋" w:cs="Times New Roman"/>
          <w:bCs/>
          <w:kern w:val="0"/>
          <w:sz w:val="24"/>
          <w:szCs w:val="24"/>
        </w:rPr>
      </w:pPr>
      <w:r>
        <w:rPr>
          <w:rFonts w:ascii="仿宋" w:hAnsi="仿宋" w:eastAsia="仿宋" w:cs="Times New Roman"/>
          <w:bCs/>
          <w:kern w:val="0"/>
          <w:sz w:val="24"/>
          <w:szCs w:val="24"/>
        </w:rPr>
        <w:drawing>
          <wp:inline distT="0" distB="0" distL="0" distR="0">
            <wp:extent cx="5200650" cy="2895600"/>
            <wp:effectExtent l="0" t="0" r="0" b="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r="8569"/>
                    <a:stretch>
                      <a:fillRect/>
                    </a:stretch>
                  </pic:blipFill>
                  <pic:spPr>
                    <a:xfrm>
                      <a:off x="0" y="0"/>
                      <a:ext cx="5206232" cy="2898489"/>
                    </a:xfrm>
                    <a:prstGeom prst="rect">
                      <a:avLst/>
                    </a:prstGeom>
                    <a:noFill/>
                    <a:ln>
                      <a:noFill/>
                    </a:ln>
                  </pic:spPr>
                </pic:pic>
              </a:graphicData>
            </a:graphic>
          </wp:inline>
        </w:drawing>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图</w:t>
      </w:r>
      <w:r>
        <w:rPr>
          <w:rFonts w:ascii="仿宋" w:hAnsi="仿宋" w:eastAsia="仿宋" w:cs="Times New Roman"/>
          <w:bCs/>
          <w:sz w:val="24"/>
          <w:szCs w:val="28"/>
        </w:rPr>
        <w:t>1-6</w:t>
      </w:r>
      <w:r>
        <w:rPr>
          <w:rFonts w:hint="eastAsia" w:ascii="仿宋" w:hAnsi="仿宋" w:eastAsia="仿宋" w:cs="Times New Roman"/>
          <w:bCs/>
          <w:sz w:val="24"/>
          <w:szCs w:val="28"/>
        </w:rPr>
        <w:t>田间道路现状图</w:t>
      </w:r>
    </w:p>
    <w:p>
      <w:pPr>
        <w:ind w:firstLine="555"/>
        <w:rPr>
          <w:rFonts w:ascii="仿宋" w:hAnsi="仿宋" w:eastAsia="仿宋" w:cs="Times New Roman"/>
          <w:bCs/>
          <w:sz w:val="28"/>
          <w:szCs w:val="28"/>
        </w:rPr>
      </w:pPr>
      <w:r>
        <w:rPr>
          <w:rFonts w:hint="eastAsia" w:ascii="仿宋" w:hAnsi="仿宋" w:eastAsia="仿宋" w:cs="Times New Roman"/>
          <w:bCs/>
          <w:sz w:val="28"/>
          <w:szCs w:val="28"/>
        </w:rPr>
        <w:t>3.前期高标准农田建设的投入标准偏低。云和县农田基础设施总体上依然薄弱，一些地方农田灌排设施老化失修、工程不配套、水资源利用率不高，抗御自然灾害的能力较差，与高标准农田建设的要求相距较远。随着物价水平上涨、农村劳动力工资不断提高，高标准农田建设成本将不断上升。尽管国家和省逐步提高高标准农田建设的投资标准，但幅度不大，跟不上建设成本上升速度，难以满足高标准农田建设的实际需要，农电网等提升性措施因资金限制还不能配套，建设措施不完善、标准偏低，因此耕地效益无法充分发挥。</w:t>
      </w:r>
    </w:p>
    <w:p>
      <w:pPr>
        <w:ind w:firstLine="555"/>
        <w:rPr>
          <w:rFonts w:ascii="仿宋" w:hAnsi="仿宋" w:eastAsia="仿宋" w:cs="Times New Roman"/>
          <w:bCs/>
          <w:sz w:val="28"/>
          <w:szCs w:val="28"/>
        </w:rPr>
      </w:pPr>
      <w:r>
        <w:rPr>
          <w:rFonts w:ascii="仿宋" w:hAnsi="仿宋" w:eastAsia="仿宋" w:cs="Times New Roman"/>
          <w:bCs/>
          <w:sz w:val="28"/>
          <w:szCs w:val="28"/>
        </w:rPr>
        <w:t>4</w:t>
      </w:r>
      <w:r>
        <w:rPr>
          <w:rFonts w:hint="eastAsia" w:ascii="仿宋" w:hAnsi="仿宋" w:eastAsia="仿宋" w:cs="Times New Roman"/>
          <w:bCs/>
          <w:sz w:val="28"/>
          <w:szCs w:val="28"/>
        </w:rPr>
        <w:t>.项目工程建后管护不够。在高标准农田建后管护中，还存在田间工程设施产权不清晰，高标准农田信息管理系统不健全，建后管护责任和措施不到位，工程建后管护的长效机制未建立，管护资金还没落实等普遍问题，影响高标准农田建设工程效用的长期发挥。</w:t>
      </w:r>
    </w:p>
    <w:p>
      <w:pPr>
        <w:ind w:firstLine="555"/>
        <w:rPr>
          <w:rFonts w:ascii="仿宋" w:hAnsi="仿宋" w:eastAsia="仿宋" w:cs="Times New Roman"/>
          <w:bCs/>
          <w:sz w:val="28"/>
          <w:szCs w:val="28"/>
        </w:rPr>
      </w:pPr>
      <w:r>
        <w:rPr>
          <w:rFonts w:ascii="仿宋" w:hAnsi="仿宋" w:eastAsia="仿宋" w:cs="Times New Roman"/>
          <w:bCs/>
          <w:sz w:val="28"/>
          <w:szCs w:val="28"/>
        </w:rPr>
        <w:t>5</w:t>
      </w:r>
      <w:r>
        <w:rPr>
          <w:rFonts w:hint="eastAsia" w:ascii="仿宋" w:hAnsi="仿宋" w:eastAsia="仿宋" w:cs="Times New Roman"/>
          <w:bCs/>
          <w:sz w:val="28"/>
          <w:szCs w:val="28"/>
        </w:rPr>
        <w:t>.部分地方积极性尚待提高。由于高标准农田建设标准、规范化和各项管理要求都比较高和严格，部分基层单位人员有畏难情绪，对申报和实施高标准农田建设项目的积极性与过去相比有所下降，缺少主动性和热情，对项目实施有一定影响。</w:t>
      </w:r>
    </w:p>
    <w:p>
      <w:pPr>
        <w:ind w:firstLine="555"/>
        <w:rPr>
          <w:rFonts w:ascii="仿宋" w:hAnsi="仿宋" w:eastAsia="仿宋" w:cs="Times New Roman"/>
          <w:bCs/>
          <w:sz w:val="28"/>
          <w:szCs w:val="28"/>
        </w:rPr>
      </w:pPr>
      <w:r>
        <w:rPr>
          <w:rFonts w:hint="eastAsia" w:ascii="仿宋" w:hAnsi="仿宋" w:eastAsia="仿宋" w:cs="Times New Roman"/>
          <w:bCs/>
          <w:sz w:val="28"/>
          <w:szCs w:val="28"/>
        </w:rPr>
        <w:t>（二）发展机遇</w:t>
      </w:r>
    </w:p>
    <w:p>
      <w:pPr>
        <w:ind w:firstLine="555"/>
        <w:rPr>
          <w:rFonts w:ascii="仿宋" w:hAnsi="仿宋" w:eastAsia="仿宋" w:cs="Times New Roman"/>
          <w:bCs/>
          <w:sz w:val="28"/>
          <w:szCs w:val="28"/>
        </w:rPr>
      </w:pPr>
      <w:r>
        <w:rPr>
          <w:rFonts w:hint="eastAsia" w:ascii="仿宋" w:hAnsi="仿宋" w:eastAsia="仿宋" w:cs="Times New Roman"/>
          <w:bCs/>
          <w:sz w:val="28"/>
          <w:szCs w:val="28"/>
        </w:rPr>
        <w:t>1</w:t>
      </w:r>
      <w:r>
        <w:rPr>
          <w:rFonts w:ascii="仿宋" w:hAnsi="仿宋" w:eastAsia="仿宋" w:cs="Times New Roman"/>
          <w:bCs/>
          <w:sz w:val="28"/>
          <w:szCs w:val="28"/>
        </w:rPr>
        <w:t>.</w:t>
      </w:r>
      <w:r>
        <w:rPr>
          <w:rFonts w:hint="eastAsia" w:ascii="仿宋" w:hAnsi="仿宋" w:eastAsia="仿宋" w:cs="Times New Roman"/>
          <w:bCs/>
          <w:sz w:val="28"/>
          <w:szCs w:val="28"/>
        </w:rPr>
        <w:t>宏观政策是高标准农田建设强劲动力</w:t>
      </w:r>
    </w:p>
    <w:p>
      <w:pPr>
        <w:ind w:firstLine="555"/>
        <w:rPr>
          <w:rFonts w:ascii="仿宋" w:hAnsi="仿宋" w:eastAsia="仿宋" w:cs="Times New Roman"/>
          <w:bCs/>
          <w:sz w:val="28"/>
          <w:szCs w:val="28"/>
        </w:rPr>
      </w:pPr>
      <w:r>
        <w:rPr>
          <w:rFonts w:hint="eastAsia" w:ascii="仿宋" w:hAnsi="仿宋" w:eastAsia="仿宋" w:cs="Times New Roman"/>
          <w:bCs/>
          <w:sz w:val="28"/>
          <w:szCs w:val="28"/>
        </w:rPr>
        <w:t>党中央和国务院对高标准农田建设高度重视，十七届五中全会提出“大规模建设旱涝保收高标准农田”，将高标准农田建设上升为国家层面的战略部署。根据《全国高标准农田建设规划（</w:t>
      </w:r>
      <w:r>
        <w:rPr>
          <w:rFonts w:ascii="仿宋" w:hAnsi="仿宋" w:eastAsia="仿宋" w:cs="Times New Roman"/>
          <w:bCs/>
          <w:sz w:val="28"/>
          <w:szCs w:val="28"/>
        </w:rPr>
        <w:t>2021-2030年）》，2022年将确保累计建成10亿亩高标准农田</w:t>
      </w:r>
      <w:r>
        <w:rPr>
          <w:rFonts w:hint="eastAsia" w:ascii="仿宋" w:hAnsi="仿宋" w:eastAsia="仿宋" w:cs="Times New Roman"/>
          <w:bCs/>
          <w:sz w:val="28"/>
          <w:szCs w:val="28"/>
        </w:rPr>
        <w:t>。浙江省出台《中共浙江省委 浙江省人民政府关于高质量推进乡村振兴确保农村同步高水平全面建成小康社会的意见》，提出严守农村生态保护红线，严格保护2398万亩永久基本农田和810万亩粮食生产功能区，新建高标准农田50万亩，提标改造粮食生产功能区50万亩。这些都是推动高标准农田建设的强大动力。</w:t>
      </w:r>
    </w:p>
    <w:p>
      <w:pPr>
        <w:ind w:firstLine="555"/>
        <w:rPr>
          <w:rFonts w:ascii="仿宋" w:hAnsi="仿宋" w:eastAsia="仿宋" w:cs="Times New Roman"/>
          <w:bCs/>
          <w:sz w:val="28"/>
          <w:szCs w:val="28"/>
        </w:rPr>
      </w:pPr>
      <w:r>
        <w:rPr>
          <w:rFonts w:hint="eastAsia" w:ascii="仿宋" w:hAnsi="仿宋" w:eastAsia="仿宋" w:cs="Times New Roman"/>
          <w:bCs/>
          <w:sz w:val="28"/>
          <w:szCs w:val="28"/>
        </w:rPr>
        <w:t>2</w:t>
      </w:r>
      <w:r>
        <w:rPr>
          <w:rFonts w:ascii="仿宋" w:hAnsi="仿宋" w:eastAsia="仿宋" w:cs="Times New Roman"/>
          <w:bCs/>
          <w:sz w:val="28"/>
          <w:szCs w:val="28"/>
        </w:rPr>
        <w:t>.</w:t>
      </w:r>
      <w:r>
        <w:rPr>
          <w:rFonts w:hint="eastAsia" w:ascii="仿宋" w:hAnsi="仿宋" w:eastAsia="仿宋" w:cs="Times New Roman"/>
          <w:bCs/>
          <w:sz w:val="28"/>
          <w:szCs w:val="28"/>
        </w:rPr>
        <w:t>经济实力是高标准农田建设的有力支撑</w:t>
      </w:r>
    </w:p>
    <w:p>
      <w:pPr>
        <w:ind w:firstLine="555"/>
        <w:rPr>
          <w:rFonts w:ascii="仿宋" w:hAnsi="仿宋" w:eastAsia="仿宋" w:cs="Times New Roman"/>
          <w:bCs/>
          <w:sz w:val="28"/>
          <w:szCs w:val="28"/>
        </w:rPr>
      </w:pPr>
      <w:r>
        <w:rPr>
          <w:rFonts w:hint="eastAsia" w:ascii="仿宋" w:hAnsi="仿宋" w:eastAsia="仿宋" w:cs="Times New Roman"/>
          <w:bCs/>
          <w:sz w:val="28"/>
          <w:szCs w:val="28"/>
        </w:rPr>
        <w:t>随着《全国高标准农田建设总体规划》的颁布实施，国家财政和省财政安排的高标准农田建设的资金每年都将有较大幅度的增长。云和县财政预算将为高标准农田建设提供财政支撑。在财政资金引导下，企业、农民等不同主体积极参与高标准农田建设的投资配套，有利于形成“国家引导，配套投入，民办公助”多元的投入机制。</w:t>
      </w:r>
    </w:p>
    <w:p>
      <w:pPr>
        <w:ind w:firstLine="555"/>
        <w:rPr>
          <w:rFonts w:ascii="仿宋" w:hAnsi="仿宋" w:eastAsia="仿宋" w:cs="Times New Roman"/>
          <w:bCs/>
          <w:sz w:val="28"/>
          <w:szCs w:val="28"/>
        </w:rPr>
      </w:pPr>
      <w:r>
        <w:rPr>
          <w:rFonts w:hint="eastAsia" w:ascii="仿宋" w:hAnsi="仿宋" w:eastAsia="仿宋" w:cs="Times New Roman"/>
          <w:bCs/>
          <w:sz w:val="28"/>
          <w:szCs w:val="28"/>
        </w:rPr>
        <w:t>3</w:t>
      </w:r>
      <w:r>
        <w:rPr>
          <w:rFonts w:ascii="仿宋" w:hAnsi="仿宋" w:eastAsia="仿宋" w:cs="Times New Roman"/>
          <w:bCs/>
          <w:sz w:val="28"/>
          <w:szCs w:val="28"/>
        </w:rPr>
        <w:t>.</w:t>
      </w:r>
      <w:r>
        <w:rPr>
          <w:rFonts w:hint="eastAsia" w:ascii="仿宋" w:hAnsi="仿宋" w:eastAsia="仿宋" w:cs="Times New Roman"/>
          <w:bCs/>
          <w:sz w:val="28"/>
          <w:szCs w:val="28"/>
        </w:rPr>
        <w:t>丰富的经验是实施高标准农田建设的保证</w:t>
      </w:r>
    </w:p>
    <w:p>
      <w:pPr>
        <w:ind w:firstLine="555"/>
        <w:rPr>
          <w:rFonts w:ascii="仿宋" w:hAnsi="仿宋" w:eastAsia="仿宋" w:cs="Times New Roman"/>
          <w:bCs/>
          <w:sz w:val="28"/>
          <w:szCs w:val="28"/>
        </w:rPr>
      </w:pPr>
      <w:r>
        <w:rPr>
          <w:rFonts w:hint="eastAsia" w:ascii="仿宋" w:hAnsi="仿宋" w:eastAsia="仿宋" w:cs="Times New Roman"/>
          <w:bCs/>
          <w:sz w:val="28"/>
          <w:szCs w:val="28"/>
        </w:rPr>
        <w:t>“十二五”以来，云和县先后实施了农业综合开发、土地整理等各种类型的项目，在高标准农田建设实践中，积极探索，不断总结，形成了一些成功的做法、经验和管理办法。随着产业形态不断优化和农业发展方式转变，全县现代农业发展成效将更加显著，农业产业结构更趋合理。此外，不断创新的农业发展载体、经营机制和政策支持均为高标准农田建设创造了良好的条件。</w:t>
      </w:r>
    </w:p>
    <w:p>
      <w:pPr>
        <w:ind w:firstLine="555"/>
        <w:rPr>
          <w:rFonts w:ascii="仿宋" w:hAnsi="仿宋" w:eastAsia="仿宋" w:cs="Times New Roman"/>
          <w:bCs/>
          <w:sz w:val="28"/>
          <w:szCs w:val="28"/>
        </w:rPr>
      </w:pPr>
      <w:r>
        <w:rPr>
          <w:rFonts w:ascii="仿宋" w:hAnsi="仿宋" w:eastAsia="仿宋" w:cs="Times New Roman"/>
          <w:bCs/>
          <w:sz w:val="28"/>
          <w:szCs w:val="28"/>
        </w:rPr>
        <w:t>4.</w:t>
      </w:r>
      <w:r>
        <w:rPr>
          <w:rFonts w:hint="eastAsia" w:ascii="仿宋" w:hAnsi="仿宋" w:eastAsia="仿宋" w:cs="Times New Roman"/>
          <w:bCs/>
          <w:sz w:val="28"/>
          <w:szCs w:val="28"/>
        </w:rPr>
        <w:t>完善的制度是高标准农田建设的坚强保障</w:t>
      </w:r>
    </w:p>
    <w:p>
      <w:pPr>
        <w:ind w:firstLine="555"/>
        <w:rPr>
          <w:rFonts w:ascii="仿宋" w:hAnsi="仿宋" w:eastAsia="仿宋" w:cs="Times New Roman"/>
          <w:bCs/>
          <w:sz w:val="28"/>
          <w:szCs w:val="28"/>
        </w:rPr>
      </w:pPr>
      <w:r>
        <w:rPr>
          <w:rFonts w:hint="eastAsia" w:ascii="仿宋" w:hAnsi="仿宋" w:eastAsia="仿宋" w:cs="Times New Roman"/>
          <w:bCs/>
          <w:sz w:val="28"/>
          <w:szCs w:val="28"/>
        </w:rPr>
        <w:t>云和县在高标准农田项目建设中逐步摸索出了一套行之有效的管理制度和办法。项目申报实行严格的专家评审制、公示制；项目实施全面推行公开竞争招标，建立项目法人责任制，强化工程监理；资金管理严格实行县级财政报账制，确保资金规范使用、专款专用；项目和资金监督全面推行审计制。通过推进项目管理“三权分离”改革，对项目管理的决策、执行和监督三个环节管理权的适度有机分离，构建决策科学、执行有力、监督到位的管理体系。</w:t>
      </w:r>
    </w:p>
    <w:p>
      <w:pPr>
        <w:ind w:firstLine="555"/>
        <w:rPr>
          <w:rFonts w:ascii="仿宋" w:hAnsi="仿宋" w:eastAsia="仿宋" w:cs="Times New Roman"/>
          <w:bCs/>
          <w:kern w:val="44"/>
          <w:sz w:val="36"/>
          <w:szCs w:val="36"/>
        </w:rPr>
      </w:pPr>
    </w:p>
    <w:p>
      <w:pPr>
        <w:widowControl/>
        <w:jc w:val="left"/>
        <w:rPr>
          <w:rFonts w:ascii="仿宋" w:hAnsi="仿宋" w:eastAsia="仿宋" w:cs="Times New Roman"/>
          <w:bCs/>
          <w:kern w:val="44"/>
          <w:sz w:val="36"/>
          <w:szCs w:val="36"/>
        </w:rPr>
      </w:pPr>
      <w:r>
        <w:rPr>
          <w:rFonts w:ascii="仿宋" w:hAnsi="仿宋" w:eastAsia="仿宋" w:cs="Times New Roman"/>
          <w:bCs/>
          <w:kern w:val="44"/>
          <w:sz w:val="36"/>
          <w:szCs w:val="36"/>
        </w:rPr>
        <w:br w:type="page"/>
      </w:r>
    </w:p>
    <w:p>
      <w:pPr>
        <w:keepNext/>
        <w:keepLines/>
        <w:tabs>
          <w:tab w:val="left" w:pos="2700"/>
        </w:tabs>
        <w:spacing w:before="340" w:after="330" w:line="578" w:lineRule="auto"/>
        <w:jc w:val="center"/>
        <w:outlineLvl w:val="0"/>
        <w:rPr>
          <w:rFonts w:ascii="仿宋" w:hAnsi="仿宋" w:eastAsia="仿宋" w:cs="Times New Roman"/>
          <w:b/>
          <w:kern w:val="44"/>
          <w:sz w:val="36"/>
          <w:szCs w:val="36"/>
        </w:rPr>
      </w:pPr>
      <w:bookmarkStart w:id="13" w:name="_Toc99549031"/>
      <w:r>
        <w:rPr>
          <w:rFonts w:hint="eastAsia" w:ascii="仿宋" w:hAnsi="仿宋" w:eastAsia="仿宋" w:cs="Times New Roman"/>
          <w:b/>
          <w:kern w:val="44"/>
          <w:sz w:val="36"/>
          <w:szCs w:val="36"/>
        </w:rPr>
        <w:t xml:space="preserve">第二章 </w:t>
      </w:r>
      <w:r>
        <w:rPr>
          <w:rFonts w:ascii="仿宋" w:hAnsi="仿宋" w:eastAsia="仿宋" w:cs="Times New Roman"/>
          <w:b/>
          <w:kern w:val="44"/>
          <w:sz w:val="36"/>
          <w:szCs w:val="36"/>
        </w:rPr>
        <w:t xml:space="preserve"> </w:t>
      </w:r>
      <w:r>
        <w:rPr>
          <w:rFonts w:hint="eastAsia" w:ascii="仿宋" w:hAnsi="仿宋" w:eastAsia="仿宋" w:cs="Times New Roman"/>
          <w:b/>
          <w:kern w:val="44"/>
          <w:sz w:val="36"/>
          <w:szCs w:val="36"/>
        </w:rPr>
        <w:t>总体思路</w:t>
      </w:r>
      <w:bookmarkEnd w:id="8"/>
      <w:bookmarkEnd w:id="13"/>
    </w:p>
    <w:p>
      <w:pPr>
        <w:keepNext/>
        <w:keepLines/>
        <w:spacing w:before="260" w:after="260" w:line="416" w:lineRule="auto"/>
        <w:jc w:val="left"/>
        <w:outlineLvl w:val="1"/>
        <w:rPr>
          <w:rFonts w:ascii="仿宋" w:hAnsi="仿宋" w:eastAsia="仿宋" w:cs="Times New Roman"/>
          <w:b/>
          <w:sz w:val="30"/>
          <w:szCs w:val="30"/>
        </w:rPr>
      </w:pPr>
      <w:bookmarkStart w:id="14" w:name="_Toc95983062"/>
      <w:bookmarkStart w:id="15" w:name="_Toc99549032"/>
      <w:r>
        <w:rPr>
          <w:rFonts w:hint="eastAsia" w:ascii="仿宋" w:hAnsi="仿宋" w:eastAsia="仿宋" w:cs="Times New Roman"/>
          <w:b/>
          <w:sz w:val="30"/>
          <w:szCs w:val="30"/>
        </w:rPr>
        <w:t>一、指导思想</w:t>
      </w:r>
      <w:bookmarkEnd w:id="14"/>
      <w:bookmarkEnd w:id="15"/>
    </w:p>
    <w:p>
      <w:pPr>
        <w:ind w:firstLine="555"/>
        <w:rPr>
          <w:rFonts w:ascii="仿宋" w:hAnsi="仿宋" w:eastAsia="仿宋" w:cs="Times New Roman"/>
          <w:bCs/>
          <w:sz w:val="28"/>
          <w:szCs w:val="28"/>
        </w:rPr>
      </w:pPr>
      <w:r>
        <w:rPr>
          <w:rFonts w:hint="eastAsia" w:ascii="仿宋" w:hAnsi="仿宋" w:eastAsia="仿宋" w:cs="Times New Roman"/>
          <w:bCs/>
          <w:sz w:val="28"/>
          <w:szCs w:val="28"/>
        </w:rPr>
        <w:t>以习近平新时代中国特色社会主义思想和“三农”思想为指导，以创新、协调、绿色、开放和共享发展理念为引领，强化农田建设的基础作用和对产业发展的支撑作用，紧紧围绕乡村振兴战略实施的总目标，加大农田基础设施建设力度，提高农业装备水平，实现“藏粮于地”；转变农业发展方式，推进农业适度规模经营，提高土地产出率；积极实施农业科技创新，大力引进新品种、新技术，提高农业科技水平，实现“藏粮于技”；强化政策支持，加大项目投入，创新投资机制，统筹协调各方面力量，合力推进高标准农田建设，促进农业增效、农民增收、农村发展，夯实乡村振兴的基础。</w:t>
      </w:r>
    </w:p>
    <w:p>
      <w:pPr>
        <w:keepNext/>
        <w:keepLines/>
        <w:spacing w:before="260" w:after="260" w:line="416" w:lineRule="auto"/>
        <w:jc w:val="left"/>
        <w:outlineLvl w:val="1"/>
        <w:rPr>
          <w:rFonts w:ascii="仿宋" w:hAnsi="仿宋" w:eastAsia="仿宋" w:cs="Times New Roman"/>
          <w:b/>
          <w:sz w:val="30"/>
          <w:szCs w:val="30"/>
        </w:rPr>
      </w:pPr>
      <w:bookmarkStart w:id="16" w:name="_Toc95983063"/>
      <w:bookmarkStart w:id="17" w:name="_Toc99549033"/>
      <w:r>
        <w:rPr>
          <w:rFonts w:hint="eastAsia" w:ascii="仿宋" w:hAnsi="仿宋" w:eastAsia="仿宋" w:cs="Times New Roman"/>
          <w:b/>
          <w:sz w:val="30"/>
          <w:szCs w:val="30"/>
        </w:rPr>
        <w:t>二、基本原则</w:t>
      </w:r>
      <w:bookmarkEnd w:id="16"/>
      <w:bookmarkEnd w:id="17"/>
    </w:p>
    <w:p>
      <w:pPr>
        <w:ind w:firstLine="555"/>
        <w:rPr>
          <w:rFonts w:ascii="仿宋" w:hAnsi="仿宋" w:eastAsia="仿宋" w:cs="Times New Roman"/>
          <w:bCs/>
          <w:sz w:val="28"/>
          <w:szCs w:val="28"/>
        </w:rPr>
      </w:pPr>
      <w:r>
        <w:rPr>
          <w:rFonts w:hint="eastAsia" w:ascii="仿宋" w:hAnsi="仿宋" w:eastAsia="仿宋" w:cs="Times New Roman"/>
          <w:bCs/>
          <w:sz w:val="28"/>
          <w:szCs w:val="28"/>
        </w:rPr>
        <w:t>（一）整体推进，连片建设</w:t>
      </w:r>
    </w:p>
    <w:p>
      <w:pPr>
        <w:ind w:firstLine="555"/>
        <w:rPr>
          <w:rFonts w:ascii="仿宋" w:hAnsi="仿宋" w:eastAsia="仿宋" w:cs="Times New Roman"/>
          <w:bCs/>
          <w:sz w:val="28"/>
          <w:szCs w:val="28"/>
        </w:rPr>
      </w:pPr>
      <w:r>
        <w:rPr>
          <w:rFonts w:hint="eastAsia" w:ascii="仿宋" w:hAnsi="仿宋" w:eastAsia="仿宋" w:cs="Times New Roman"/>
          <w:bCs/>
          <w:sz w:val="28"/>
          <w:szCs w:val="28"/>
        </w:rPr>
        <w:t>根据农田分布和自然条件状况，加强与相关规划衔接，选择重点建设地区，因地制宜地合理确定农田连片规模，统一规划设计，采取集中投入、连片治理、整体推进的建设方式，确保建一片成一片。根据高标准农田建设实际，探索整镇推进的措施和办法。</w:t>
      </w:r>
    </w:p>
    <w:p>
      <w:pPr>
        <w:ind w:firstLine="555"/>
        <w:rPr>
          <w:rFonts w:ascii="仿宋" w:hAnsi="仿宋" w:eastAsia="仿宋" w:cs="Times New Roman"/>
          <w:bCs/>
          <w:sz w:val="28"/>
          <w:szCs w:val="28"/>
        </w:rPr>
      </w:pPr>
      <w:r>
        <w:rPr>
          <w:rFonts w:hint="eastAsia" w:ascii="仿宋" w:hAnsi="仿宋" w:eastAsia="仿宋" w:cs="Times New Roman"/>
          <w:bCs/>
          <w:sz w:val="28"/>
          <w:szCs w:val="28"/>
        </w:rPr>
        <w:t>（二）整合资源，集中投入</w:t>
      </w:r>
    </w:p>
    <w:p>
      <w:pPr>
        <w:ind w:firstLine="555"/>
        <w:rPr>
          <w:rFonts w:ascii="仿宋" w:hAnsi="仿宋" w:eastAsia="仿宋" w:cs="Times New Roman"/>
          <w:bCs/>
          <w:sz w:val="28"/>
          <w:szCs w:val="28"/>
        </w:rPr>
      </w:pPr>
      <w:r>
        <w:rPr>
          <w:rFonts w:hint="eastAsia" w:ascii="仿宋" w:hAnsi="仿宋" w:eastAsia="仿宋" w:cs="Times New Roman"/>
          <w:bCs/>
          <w:sz w:val="28"/>
          <w:szCs w:val="28"/>
        </w:rPr>
        <w:t>明确全县各级、各部门职责，整合资源，建立部门协调机制，促进信息共享。整合各级、各类有关高标准农田建设的项目和资金，集中投入，确保效果。</w:t>
      </w:r>
    </w:p>
    <w:p>
      <w:pPr>
        <w:ind w:firstLine="555"/>
        <w:rPr>
          <w:rFonts w:ascii="仿宋" w:hAnsi="仿宋" w:eastAsia="仿宋" w:cs="Times New Roman"/>
          <w:bCs/>
          <w:sz w:val="28"/>
          <w:szCs w:val="28"/>
        </w:rPr>
      </w:pPr>
      <w:r>
        <w:rPr>
          <w:rFonts w:hint="eastAsia" w:ascii="仿宋" w:hAnsi="仿宋" w:eastAsia="仿宋" w:cs="Times New Roman"/>
          <w:bCs/>
          <w:sz w:val="28"/>
          <w:szCs w:val="28"/>
        </w:rPr>
        <w:t>（三）高标准建设，高水平利用</w:t>
      </w:r>
    </w:p>
    <w:p>
      <w:pPr>
        <w:ind w:firstLine="555"/>
        <w:rPr>
          <w:rFonts w:ascii="仿宋" w:hAnsi="仿宋" w:eastAsia="仿宋" w:cs="Times New Roman"/>
          <w:bCs/>
          <w:sz w:val="28"/>
          <w:szCs w:val="28"/>
        </w:rPr>
      </w:pPr>
      <w:r>
        <w:rPr>
          <w:rFonts w:hint="eastAsia" w:ascii="仿宋" w:hAnsi="仿宋" w:eastAsia="仿宋" w:cs="Times New Roman"/>
          <w:bCs/>
          <w:sz w:val="28"/>
          <w:szCs w:val="28"/>
        </w:rPr>
        <w:t>提高设计和建设标准，切实改变建设标准偏低、不能适应现代农业发展需要的局面。建成后通过产业化等措施，大力发展农产品和农业服务业，实现一二三产融合发展，高水平利用，提高高标准农田的生产效率和效益。</w:t>
      </w:r>
    </w:p>
    <w:p>
      <w:pPr>
        <w:ind w:firstLine="555"/>
        <w:rPr>
          <w:rFonts w:ascii="仿宋" w:hAnsi="仿宋" w:eastAsia="仿宋" w:cs="Times New Roman"/>
          <w:bCs/>
          <w:sz w:val="28"/>
          <w:szCs w:val="28"/>
        </w:rPr>
      </w:pPr>
      <w:r>
        <w:rPr>
          <w:rFonts w:hint="eastAsia" w:ascii="仿宋" w:hAnsi="仿宋" w:eastAsia="仿宋" w:cs="Times New Roman"/>
          <w:bCs/>
          <w:sz w:val="28"/>
          <w:szCs w:val="28"/>
        </w:rPr>
        <w:t>（四）建管结合，长期发挥</w:t>
      </w:r>
    </w:p>
    <w:p>
      <w:pPr>
        <w:ind w:firstLine="555"/>
        <w:rPr>
          <w:rFonts w:ascii="仿宋" w:hAnsi="仿宋" w:eastAsia="仿宋" w:cs="Times New Roman"/>
          <w:bCs/>
          <w:sz w:val="28"/>
          <w:szCs w:val="28"/>
        </w:rPr>
      </w:pPr>
      <w:r>
        <w:rPr>
          <w:rFonts w:hint="eastAsia" w:ascii="仿宋" w:hAnsi="仿宋" w:eastAsia="仿宋" w:cs="Times New Roman"/>
          <w:bCs/>
          <w:sz w:val="28"/>
          <w:szCs w:val="28"/>
        </w:rPr>
        <w:t>按照标准化要求加强项目建设管理，建成后及时确权登记，健全管护机制，明确管护主体，落实管护责任和管护经费；加强对项目工程管护工作的督查指导和监测评价，强化信息管理，确保工程规范、良性运行，长久发挥效益。</w:t>
      </w:r>
    </w:p>
    <w:p>
      <w:pPr>
        <w:ind w:firstLine="555"/>
        <w:rPr>
          <w:rFonts w:ascii="仿宋" w:hAnsi="仿宋" w:eastAsia="仿宋" w:cs="Times New Roman"/>
          <w:bCs/>
          <w:sz w:val="28"/>
          <w:szCs w:val="28"/>
        </w:rPr>
      </w:pPr>
      <w:r>
        <w:rPr>
          <w:rFonts w:hint="eastAsia" w:ascii="仿宋" w:hAnsi="仿宋" w:eastAsia="仿宋" w:cs="Times New Roman"/>
          <w:bCs/>
          <w:sz w:val="28"/>
          <w:szCs w:val="28"/>
        </w:rPr>
        <w:t>（五）农民自愿，组织有力</w:t>
      </w:r>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高标准农田建设的区域规划和项目实施的条件首先是农民自愿，乡镇（街道）政府积极性高，并具有较强的项目实施组织和管理能力，确保项目顺利实施。</w:t>
      </w:r>
    </w:p>
    <w:p>
      <w:pPr>
        <w:keepNext/>
        <w:keepLines/>
        <w:spacing w:before="260" w:after="260" w:line="416" w:lineRule="auto"/>
        <w:jc w:val="left"/>
        <w:outlineLvl w:val="1"/>
        <w:rPr>
          <w:rFonts w:ascii="仿宋" w:hAnsi="仿宋" w:eastAsia="仿宋" w:cs="Times New Roman"/>
          <w:b/>
          <w:sz w:val="30"/>
          <w:szCs w:val="30"/>
        </w:rPr>
      </w:pPr>
      <w:bookmarkStart w:id="18" w:name="_Toc99549034"/>
      <w:bookmarkStart w:id="19" w:name="_Toc95983064"/>
      <w:r>
        <w:rPr>
          <w:rFonts w:hint="eastAsia" w:ascii="仿宋" w:hAnsi="仿宋" w:eastAsia="仿宋" w:cs="Times New Roman"/>
          <w:b/>
          <w:sz w:val="30"/>
          <w:szCs w:val="30"/>
        </w:rPr>
        <w:t>三、规划依据</w:t>
      </w:r>
      <w:bookmarkEnd w:id="18"/>
      <w:bookmarkEnd w:id="19"/>
    </w:p>
    <w:p>
      <w:pPr>
        <w:ind w:firstLine="555"/>
        <w:rPr>
          <w:rFonts w:ascii="仿宋" w:hAnsi="仿宋" w:eastAsia="仿宋" w:cs="Times New Roman"/>
          <w:bCs/>
          <w:sz w:val="28"/>
          <w:szCs w:val="28"/>
        </w:rPr>
      </w:pPr>
      <w:r>
        <w:rPr>
          <w:rFonts w:hint="eastAsia" w:ascii="仿宋" w:hAnsi="仿宋" w:eastAsia="仿宋" w:cs="Times New Roman"/>
          <w:bCs/>
          <w:sz w:val="28"/>
          <w:szCs w:val="28"/>
        </w:rPr>
        <w:t>1、相关法律</w:t>
      </w:r>
    </w:p>
    <w:p>
      <w:pPr>
        <w:ind w:firstLine="555"/>
        <w:rPr>
          <w:rFonts w:ascii="仿宋" w:hAnsi="仿宋" w:eastAsia="仿宋" w:cs="Times New Roman"/>
          <w:bCs/>
          <w:sz w:val="28"/>
          <w:szCs w:val="28"/>
        </w:rPr>
      </w:pPr>
      <w:r>
        <w:rPr>
          <w:rFonts w:hint="eastAsia" w:ascii="仿宋" w:hAnsi="仿宋" w:eastAsia="仿宋" w:cs="Times New Roman"/>
          <w:bCs/>
          <w:sz w:val="28"/>
          <w:szCs w:val="28"/>
        </w:rPr>
        <w:t>（1）《中华人民共和国土地管理法》；</w:t>
      </w:r>
    </w:p>
    <w:p>
      <w:pPr>
        <w:ind w:firstLine="555"/>
        <w:rPr>
          <w:rFonts w:ascii="仿宋" w:hAnsi="仿宋" w:eastAsia="仿宋" w:cs="Times New Roman"/>
          <w:bCs/>
          <w:sz w:val="28"/>
          <w:szCs w:val="28"/>
        </w:rPr>
      </w:pPr>
      <w:r>
        <w:rPr>
          <w:rFonts w:hint="eastAsia" w:ascii="仿宋" w:hAnsi="仿宋" w:eastAsia="仿宋" w:cs="Times New Roman"/>
          <w:bCs/>
          <w:sz w:val="28"/>
          <w:szCs w:val="28"/>
        </w:rPr>
        <w:t>（2）《中华人民共和国环境保护法》；</w:t>
      </w:r>
    </w:p>
    <w:p>
      <w:pPr>
        <w:ind w:firstLine="555"/>
        <w:rPr>
          <w:rFonts w:ascii="仿宋" w:hAnsi="仿宋" w:eastAsia="仿宋" w:cs="Times New Roman"/>
          <w:bCs/>
          <w:sz w:val="28"/>
          <w:szCs w:val="28"/>
        </w:rPr>
      </w:pPr>
      <w:r>
        <w:rPr>
          <w:rFonts w:hint="eastAsia" w:ascii="仿宋" w:hAnsi="仿宋" w:eastAsia="仿宋" w:cs="Times New Roman"/>
          <w:bCs/>
          <w:sz w:val="28"/>
          <w:szCs w:val="28"/>
        </w:rPr>
        <w:t>（3）《中华人民共和国农业法》；</w:t>
      </w:r>
    </w:p>
    <w:p>
      <w:pPr>
        <w:ind w:firstLine="555"/>
        <w:rPr>
          <w:rFonts w:ascii="仿宋" w:hAnsi="仿宋" w:eastAsia="仿宋" w:cs="Times New Roman"/>
          <w:bCs/>
          <w:sz w:val="28"/>
          <w:szCs w:val="28"/>
        </w:rPr>
      </w:pPr>
      <w:r>
        <w:rPr>
          <w:rFonts w:hint="eastAsia" w:ascii="仿宋" w:hAnsi="仿宋" w:eastAsia="仿宋" w:cs="Times New Roman"/>
          <w:bCs/>
          <w:sz w:val="28"/>
          <w:szCs w:val="28"/>
        </w:rPr>
        <w:t>（4）《中华人民共和国水法》；</w:t>
      </w:r>
    </w:p>
    <w:p>
      <w:pPr>
        <w:ind w:firstLine="555"/>
        <w:rPr>
          <w:rFonts w:ascii="仿宋" w:hAnsi="仿宋" w:eastAsia="仿宋" w:cs="Times New Roman"/>
          <w:bCs/>
          <w:sz w:val="28"/>
          <w:szCs w:val="28"/>
        </w:rPr>
      </w:pPr>
      <w:r>
        <w:rPr>
          <w:rFonts w:hint="eastAsia" w:ascii="仿宋" w:hAnsi="仿宋" w:eastAsia="仿宋" w:cs="Times New Roman"/>
          <w:bCs/>
          <w:sz w:val="28"/>
          <w:szCs w:val="28"/>
        </w:rPr>
        <w:t>（5）《中华人民共和国基本农田保护条例》；</w:t>
      </w:r>
    </w:p>
    <w:p>
      <w:pPr>
        <w:ind w:firstLine="555"/>
        <w:rPr>
          <w:rFonts w:ascii="仿宋" w:hAnsi="仿宋" w:eastAsia="仿宋" w:cs="Times New Roman"/>
          <w:bCs/>
          <w:sz w:val="28"/>
          <w:szCs w:val="28"/>
        </w:rPr>
      </w:pPr>
      <w:r>
        <w:rPr>
          <w:rFonts w:hint="eastAsia" w:ascii="仿宋" w:hAnsi="仿宋" w:eastAsia="仿宋" w:cs="Times New Roman"/>
          <w:bCs/>
          <w:sz w:val="28"/>
          <w:szCs w:val="28"/>
        </w:rPr>
        <w:t>（6）《浙江省基本农田保护条例》。</w:t>
      </w:r>
    </w:p>
    <w:p>
      <w:pPr>
        <w:ind w:firstLine="555"/>
        <w:rPr>
          <w:rFonts w:ascii="仿宋" w:hAnsi="仿宋" w:eastAsia="仿宋" w:cs="Times New Roman"/>
          <w:bCs/>
          <w:sz w:val="28"/>
          <w:szCs w:val="28"/>
        </w:rPr>
      </w:pPr>
      <w:r>
        <w:rPr>
          <w:rFonts w:hint="eastAsia" w:ascii="仿宋" w:hAnsi="仿宋" w:eastAsia="仿宋" w:cs="Times New Roman"/>
          <w:bCs/>
          <w:sz w:val="28"/>
          <w:szCs w:val="28"/>
        </w:rPr>
        <w:t>2、相关文件</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1</w:t>
      </w:r>
      <w:r>
        <w:rPr>
          <w:rFonts w:hint="eastAsia" w:ascii="仿宋" w:hAnsi="仿宋" w:eastAsia="仿宋" w:cs="Times New Roman"/>
          <w:bCs/>
          <w:sz w:val="28"/>
          <w:szCs w:val="28"/>
        </w:rPr>
        <w:t>）《农业农村部关于开展“十二五”以来高标准农田建设评估工作的通知》（农建发﹝2019﹞4号）；</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2</w:t>
      </w:r>
      <w:r>
        <w:rPr>
          <w:rFonts w:hint="eastAsia" w:ascii="仿宋" w:hAnsi="仿宋" w:eastAsia="仿宋" w:cs="Times New Roman"/>
          <w:bCs/>
          <w:sz w:val="28"/>
          <w:szCs w:val="28"/>
        </w:rPr>
        <w:t>）国务院办公厅关于切实加强高标准农田建设提升国家粮食安全保障能力的意见（国办发〔2019〕50号）；</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3</w:t>
      </w:r>
      <w:r>
        <w:rPr>
          <w:rFonts w:hint="eastAsia" w:ascii="仿宋" w:hAnsi="仿宋" w:eastAsia="仿宋" w:cs="Times New Roman"/>
          <w:bCs/>
          <w:sz w:val="28"/>
          <w:szCs w:val="28"/>
        </w:rPr>
        <w:t>）《农业农村部关于做好当前农田建设管理工作的通知》(农建发〔2018〕1号)；</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4</w:t>
      </w:r>
      <w:r>
        <w:rPr>
          <w:rFonts w:hint="eastAsia" w:ascii="仿宋" w:hAnsi="仿宋" w:eastAsia="仿宋" w:cs="Times New Roman"/>
          <w:bCs/>
          <w:sz w:val="28"/>
          <w:szCs w:val="28"/>
        </w:rPr>
        <w:t>）浙江省农业农村厅关于印发《浙江省高标准农田建设项目竣工验收实施办法》的通知（浙农田发〔2021〕15号）；</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5</w:t>
      </w:r>
      <w:r>
        <w:rPr>
          <w:rFonts w:hint="eastAsia" w:ascii="仿宋" w:hAnsi="仿宋" w:eastAsia="仿宋" w:cs="Times New Roman"/>
          <w:bCs/>
          <w:sz w:val="28"/>
          <w:szCs w:val="28"/>
        </w:rPr>
        <w:t>）浙江省人民政府办公厅关于加快推进高效节水灌溉工程建设的意见（浙政办发〔20</w:t>
      </w:r>
      <w:r>
        <w:rPr>
          <w:rFonts w:ascii="仿宋" w:hAnsi="仿宋" w:eastAsia="仿宋" w:cs="Times New Roman"/>
          <w:bCs/>
          <w:sz w:val="28"/>
          <w:szCs w:val="28"/>
        </w:rPr>
        <w:t>15</w:t>
      </w:r>
      <w:r>
        <w:rPr>
          <w:rFonts w:hint="eastAsia" w:ascii="仿宋" w:hAnsi="仿宋" w:eastAsia="仿宋" w:cs="Times New Roman"/>
          <w:bCs/>
          <w:sz w:val="28"/>
          <w:szCs w:val="28"/>
        </w:rPr>
        <w:t>〕</w:t>
      </w:r>
      <w:r>
        <w:rPr>
          <w:rFonts w:ascii="仿宋" w:hAnsi="仿宋" w:eastAsia="仿宋" w:cs="Times New Roman"/>
          <w:bCs/>
          <w:sz w:val="28"/>
          <w:szCs w:val="28"/>
        </w:rPr>
        <w:t>3号</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6</w:t>
      </w:r>
      <w:r>
        <w:rPr>
          <w:rFonts w:hint="eastAsia" w:ascii="仿宋" w:hAnsi="仿宋" w:eastAsia="仿宋" w:cs="Times New Roman"/>
          <w:bCs/>
          <w:sz w:val="28"/>
          <w:szCs w:val="28"/>
        </w:rPr>
        <w:t>）《国务院办公厅关于防止耕地“非粮化”稳定粮食生产的通知》（国办发〔</w:t>
      </w:r>
      <w:r>
        <w:rPr>
          <w:rFonts w:ascii="仿宋" w:hAnsi="仿宋" w:eastAsia="仿宋" w:cs="Times New Roman"/>
          <w:bCs/>
          <w:sz w:val="28"/>
          <w:szCs w:val="28"/>
        </w:rPr>
        <w:t>2020〕44号）</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7</w:t>
      </w:r>
      <w:r>
        <w:rPr>
          <w:rFonts w:hint="eastAsia" w:ascii="仿宋" w:hAnsi="仿宋" w:eastAsia="仿宋" w:cs="Times New Roman"/>
          <w:bCs/>
          <w:sz w:val="28"/>
          <w:szCs w:val="28"/>
        </w:rPr>
        <w:t>）国家及浙江省农田基础设施建设项目其他相关规范及技术要求。</w:t>
      </w:r>
    </w:p>
    <w:p>
      <w:pPr>
        <w:ind w:firstLine="555"/>
        <w:rPr>
          <w:rFonts w:ascii="仿宋" w:hAnsi="仿宋" w:eastAsia="仿宋" w:cs="Times New Roman"/>
          <w:bCs/>
          <w:sz w:val="28"/>
          <w:szCs w:val="28"/>
        </w:rPr>
      </w:pPr>
      <w:r>
        <w:rPr>
          <w:rFonts w:hint="eastAsia" w:ascii="仿宋" w:hAnsi="仿宋" w:eastAsia="仿宋" w:cs="Times New Roman"/>
          <w:bCs/>
          <w:sz w:val="28"/>
          <w:szCs w:val="28"/>
        </w:rPr>
        <w:t>3、相关规划</w:t>
      </w:r>
    </w:p>
    <w:p>
      <w:pPr>
        <w:ind w:firstLine="555"/>
        <w:rPr>
          <w:rFonts w:ascii="仿宋" w:hAnsi="仿宋" w:eastAsia="仿宋" w:cs="Times New Roman"/>
          <w:bCs/>
          <w:sz w:val="28"/>
          <w:szCs w:val="28"/>
        </w:rPr>
      </w:pPr>
      <w:r>
        <w:rPr>
          <w:rFonts w:hint="eastAsia" w:ascii="仿宋" w:hAnsi="仿宋" w:eastAsia="仿宋" w:cs="Times New Roman"/>
          <w:bCs/>
          <w:sz w:val="28"/>
          <w:szCs w:val="28"/>
        </w:rPr>
        <w:t>（1）《全国高标准农田建设规划(20</w:t>
      </w:r>
      <w:r>
        <w:rPr>
          <w:rFonts w:ascii="仿宋" w:hAnsi="仿宋" w:eastAsia="仿宋" w:cs="Times New Roman"/>
          <w:bCs/>
          <w:sz w:val="28"/>
          <w:szCs w:val="28"/>
        </w:rPr>
        <w:t>21</w:t>
      </w:r>
      <w:r>
        <w:rPr>
          <w:rFonts w:hint="eastAsia" w:ascii="仿宋" w:hAnsi="仿宋" w:eastAsia="仿宋" w:cs="Times New Roman"/>
          <w:bCs/>
          <w:sz w:val="28"/>
          <w:szCs w:val="28"/>
        </w:rPr>
        <w:t>-20</w:t>
      </w:r>
      <w:r>
        <w:rPr>
          <w:rFonts w:ascii="仿宋" w:hAnsi="仿宋" w:eastAsia="仿宋" w:cs="Times New Roman"/>
          <w:bCs/>
          <w:sz w:val="28"/>
          <w:szCs w:val="28"/>
        </w:rPr>
        <w:t>30</w:t>
      </w:r>
      <w:r>
        <w:rPr>
          <w:rFonts w:hint="eastAsia" w:ascii="仿宋" w:hAnsi="仿宋" w:eastAsia="仿宋" w:cs="Times New Roman"/>
          <w:bCs/>
          <w:sz w:val="28"/>
          <w:szCs w:val="28"/>
        </w:rPr>
        <w:t>年)》；</w:t>
      </w:r>
    </w:p>
    <w:p>
      <w:pPr>
        <w:ind w:firstLine="555"/>
        <w:rPr>
          <w:rFonts w:ascii="仿宋" w:hAnsi="仿宋" w:eastAsia="仿宋" w:cs="Times New Roman"/>
          <w:bCs/>
          <w:sz w:val="28"/>
          <w:szCs w:val="28"/>
        </w:rPr>
      </w:pPr>
      <w:r>
        <w:rPr>
          <w:rFonts w:hint="eastAsia" w:ascii="仿宋" w:hAnsi="仿宋" w:eastAsia="仿宋" w:cs="Times New Roman"/>
          <w:bCs/>
          <w:sz w:val="28"/>
          <w:szCs w:val="28"/>
        </w:rPr>
        <w:t>（2） 《国家农业综合开发高标准农田建设规划</w:t>
      </w:r>
      <w:r>
        <w:rPr>
          <w:rFonts w:ascii="仿宋" w:hAnsi="仿宋" w:eastAsia="仿宋" w:cs="Times New Roman"/>
          <w:bCs/>
          <w:sz w:val="28"/>
          <w:szCs w:val="28"/>
        </w:rPr>
        <w:t>(2011—2020年)</w:t>
      </w:r>
      <w:r>
        <w:rPr>
          <w:rFonts w:hint="eastAsia" w:ascii="仿宋" w:hAnsi="仿宋" w:eastAsia="仿宋" w:cs="Times New Roman"/>
          <w:bCs/>
          <w:sz w:val="28"/>
          <w:szCs w:val="28"/>
        </w:rPr>
        <w:t xml:space="preserve">》； </w:t>
      </w:r>
    </w:p>
    <w:p>
      <w:pPr>
        <w:ind w:firstLine="555"/>
        <w:rPr>
          <w:rFonts w:ascii="仿宋" w:hAnsi="仿宋" w:eastAsia="仿宋" w:cs="Times New Roman"/>
          <w:bCs/>
          <w:sz w:val="28"/>
          <w:szCs w:val="28"/>
        </w:rPr>
      </w:pPr>
      <w:r>
        <w:rPr>
          <w:rFonts w:hint="eastAsia" w:ascii="仿宋" w:hAnsi="仿宋" w:eastAsia="仿宋" w:cs="Times New Roman"/>
          <w:bCs/>
          <w:sz w:val="28"/>
          <w:szCs w:val="28"/>
        </w:rPr>
        <w:t>（3）《国家乡村振兴战略规划（2018-2022年）》；</w:t>
      </w:r>
    </w:p>
    <w:p>
      <w:pPr>
        <w:ind w:firstLine="555"/>
        <w:rPr>
          <w:rFonts w:ascii="仿宋" w:hAnsi="仿宋" w:eastAsia="仿宋" w:cs="Times New Roman"/>
          <w:bCs/>
          <w:sz w:val="28"/>
          <w:szCs w:val="28"/>
        </w:rPr>
      </w:pPr>
      <w:r>
        <w:rPr>
          <w:rFonts w:hint="eastAsia" w:ascii="仿宋" w:hAnsi="仿宋" w:eastAsia="仿宋" w:cs="Times New Roman"/>
          <w:bCs/>
          <w:sz w:val="28"/>
          <w:szCs w:val="28"/>
        </w:rPr>
        <w:t>（4）《浙江省高标准农田建设“十四五”规划》；</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5</w:t>
      </w:r>
      <w:r>
        <w:rPr>
          <w:rFonts w:hint="eastAsia" w:ascii="仿宋" w:hAnsi="仿宋" w:eastAsia="仿宋" w:cs="Times New Roman"/>
          <w:bCs/>
          <w:sz w:val="28"/>
          <w:szCs w:val="28"/>
        </w:rPr>
        <w:t>）《云和县国土空间规划（2020-2035年）》；</w:t>
      </w:r>
      <w:r>
        <w:rPr>
          <w:rFonts w:ascii="仿宋" w:hAnsi="仿宋" w:eastAsia="仿宋" w:cs="Times New Roman"/>
          <w:bCs/>
          <w:sz w:val="28"/>
          <w:szCs w:val="28"/>
        </w:rPr>
        <w:t xml:space="preserve"> </w:t>
      </w:r>
    </w:p>
    <w:p>
      <w:pPr>
        <w:ind w:firstLine="555"/>
        <w:rPr>
          <w:rFonts w:ascii="仿宋" w:hAnsi="仿宋" w:eastAsia="仿宋" w:cs="Times New Roman"/>
          <w:bCs/>
          <w:sz w:val="28"/>
          <w:szCs w:val="28"/>
        </w:rPr>
      </w:pPr>
      <w:r>
        <w:rPr>
          <w:rFonts w:hint="eastAsia" w:ascii="仿宋" w:hAnsi="仿宋" w:eastAsia="仿宋" w:cs="Times New Roman"/>
          <w:bCs/>
          <w:sz w:val="28"/>
          <w:szCs w:val="28"/>
        </w:rPr>
        <w:t>（6）《云和县国民经济和社会发展第十四个五年规划和二〇三五年远景目标纲要》；</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7</w:t>
      </w:r>
      <w:r>
        <w:rPr>
          <w:rFonts w:hint="eastAsia" w:ascii="仿宋" w:hAnsi="仿宋" w:eastAsia="仿宋" w:cs="Times New Roman"/>
          <w:bCs/>
          <w:sz w:val="28"/>
          <w:szCs w:val="28"/>
        </w:rPr>
        <w:t>）《云和县农业农村现代化发展“十四五”规划》；</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8</w:t>
      </w:r>
      <w:r>
        <w:rPr>
          <w:rFonts w:hint="eastAsia" w:ascii="仿宋" w:hAnsi="仿宋" w:eastAsia="仿宋" w:cs="Times New Roman"/>
          <w:bCs/>
          <w:sz w:val="28"/>
          <w:szCs w:val="28"/>
        </w:rPr>
        <w:t>）其他相关规划。</w:t>
      </w:r>
    </w:p>
    <w:p>
      <w:pPr>
        <w:ind w:firstLine="555"/>
        <w:rPr>
          <w:rFonts w:ascii="仿宋" w:hAnsi="仿宋" w:eastAsia="仿宋" w:cs="Times New Roman"/>
          <w:bCs/>
          <w:sz w:val="28"/>
          <w:szCs w:val="28"/>
        </w:rPr>
      </w:pPr>
      <w:r>
        <w:rPr>
          <w:rFonts w:hint="eastAsia" w:ascii="仿宋" w:hAnsi="仿宋" w:eastAsia="仿宋" w:cs="Times New Roman"/>
          <w:bCs/>
          <w:sz w:val="28"/>
          <w:szCs w:val="28"/>
        </w:rPr>
        <w:t>4、相关规范、标准</w:t>
      </w:r>
    </w:p>
    <w:p>
      <w:pPr>
        <w:ind w:firstLine="555"/>
        <w:rPr>
          <w:rFonts w:ascii="仿宋" w:hAnsi="仿宋" w:eastAsia="仿宋" w:cs="Times New Roman"/>
          <w:bCs/>
          <w:sz w:val="28"/>
          <w:szCs w:val="28"/>
        </w:rPr>
      </w:pPr>
      <w:r>
        <w:rPr>
          <w:rFonts w:hint="eastAsia" w:ascii="仿宋" w:hAnsi="仿宋" w:eastAsia="仿宋" w:cs="Times New Roman"/>
          <w:bCs/>
          <w:sz w:val="28"/>
          <w:szCs w:val="28"/>
        </w:rPr>
        <w:t>（1）《高标准农田建设技术规范》（N</w:t>
      </w:r>
      <w:r>
        <w:rPr>
          <w:rFonts w:ascii="仿宋" w:hAnsi="仿宋" w:eastAsia="仿宋" w:cs="Times New Roman"/>
          <w:bCs/>
          <w:sz w:val="28"/>
          <w:szCs w:val="28"/>
        </w:rPr>
        <w:t>Y</w:t>
      </w:r>
      <w:r>
        <w:rPr>
          <w:rFonts w:hint="eastAsia" w:ascii="仿宋" w:hAnsi="仿宋" w:eastAsia="仿宋" w:cs="Times New Roman"/>
          <w:bCs/>
          <w:sz w:val="28"/>
          <w:szCs w:val="28"/>
        </w:rPr>
        <w:t>/T</w:t>
      </w:r>
      <w:r>
        <w:rPr>
          <w:rFonts w:ascii="仿宋" w:hAnsi="仿宋" w:eastAsia="仿宋" w:cs="Times New Roman"/>
          <w:bCs/>
          <w:sz w:val="28"/>
          <w:szCs w:val="28"/>
        </w:rPr>
        <w:t>2949</w:t>
      </w:r>
      <w:r>
        <w:rPr>
          <w:rFonts w:hint="eastAsia" w:ascii="仿宋" w:hAnsi="仿宋" w:eastAsia="仿宋" w:cs="Times New Roman"/>
          <w:bCs/>
          <w:sz w:val="28"/>
          <w:szCs w:val="28"/>
        </w:rPr>
        <w:t>-201</w:t>
      </w:r>
      <w:r>
        <w:rPr>
          <w:rFonts w:ascii="仿宋" w:hAnsi="仿宋" w:eastAsia="仿宋" w:cs="Times New Roman"/>
          <w:bCs/>
          <w:sz w:val="28"/>
          <w:szCs w:val="28"/>
        </w:rPr>
        <w:t>6</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（2）《灌溉与排水工程设计规范》（GB50288-2018）；</w:t>
      </w:r>
    </w:p>
    <w:p>
      <w:pPr>
        <w:ind w:firstLine="555"/>
        <w:rPr>
          <w:rFonts w:ascii="仿宋" w:hAnsi="仿宋" w:eastAsia="仿宋" w:cs="Times New Roman"/>
          <w:bCs/>
          <w:sz w:val="28"/>
          <w:szCs w:val="28"/>
        </w:rPr>
      </w:pPr>
      <w:r>
        <w:rPr>
          <w:rFonts w:hint="eastAsia" w:ascii="仿宋" w:hAnsi="仿宋" w:eastAsia="仿宋" w:cs="Times New Roman"/>
          <w:bCs/>
          <w:sz w:val="28"/>
          <w:szCs w:val="28"/>
        </w:rPr>
        <w:t>（3）《节水灌溉工程技术标准》（</w:t>
      </w:r>
      <w:r>
        <w:rPr>
          <w:rFonts w:ascii="仿宋" w:hAnsi="仿宋" w:eastAsia="仿宋" w:cs="Times New Roman"/>
          <w:bCs/>
          <w:sz w:val="28"/>
          <w:szCs w:val="28"/>
        </w:rPr>
        <w:t>GB/T 50363-2018）</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（4）《渠道防渗衬砌工程技术标准》（</w:t>
      </w:r>
      <w:r>
        <w:rPr>
          <w:rFonts w:ascii="仿宋" w:hAnsi="仿宋" w:eastAsia="仿宋" w:cs="Times New Roman"/>
          <w:bCs/>
          <w:sz w:val="28"/>
          <w:szCs w:val="28"/>
        </w:rPr>
        <w:t>GB/T 50600-2020</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5</w:t>
      </w:r>
      <w:r>
        <w:rPr>
          <w:rFonts w:hint="eastAsia" w:ascii="仿宋" w:hAnsi="仿宋" w:eastAsia="仿宋" w:cs="Times New Roman"/>
          <w:bCs/>
          <w:sz w:val="28"/>
          <w:szCs w:val="28"/>
        </w:rPr>
        <w:t>）《高标准农田建设评价规范》（G</w:t>
      </w:r>
      <w:r>
        <w:rPr>
          <w:rFonts w:ascii="仿宋" w:hAnsi="仿宋" w:eastAsia="仿宋" w:cs="Times New Roman"/>
          <w:bCs/>
          <w:sz w:val="28"/>
          <w:szCs w:val="28"/>
        </w:rPr>
        <w:t>B/T33130-2016</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6</w:t>
      </w:r>
      <w:r>
        <w:rPr>
          <w:rFonts w:hint="eastAsia" w:ascii="仿宋" w:hAnsi="仿宋" w:eastAsia="仿宋" w:cs="Times New Roman"/>
          <w:bCs/>
          <w:sz w:val="28"/>
          <w:szCs w:val="28"/>
        </w:rPr>
        <w:t>）其他有关的国家及行业现行规范、规程、标准等。</w:t>
      </w:r>
    </w:p>
    <w:p>
      <w:pPr>
        <w:ind w:firstLine="555"/>
        <w:rPr>
          <w:rFonts w:ascii="仿宋" w:hAnsi="仿宋" w:eastAsia="仿宋" w:cs="Times New Roman"/>
          <w:bCs/>
          <w:sz w:val="28"/>
          <w:szCs w:val="28"/>
        </w:rPr>
      </w:pPr>
      <w:r>
        <w:rPr>
          <w:rFonts w:hint="eastAsia" w:ascii="仿宋" w:hAnsi="仿宋" w:eastAsia="仿宋" w:cs="Times New Roman"/>
          <w:bCs/>
          <w:sz w:val="28"/>
          <w:szCs w:val="28"/>
        </w:rPr>
        <w:t>5、相关资料</w:t>
      </w:r>
    </w:p>
    <w:p>
      <w:pPr>
        <w:ind w:firstLine="555"/>
        <w:rPr>
          <w:rFonts w:ascii="仿宋" w:hAnsi="仿宋" w:eastAsia="仿宋" w:cs="Times New Roman"/>
          <w:bCs/>
          <w:sz w:val="28"/>
          <w:szCs w:val="28"/>
        </w:rPr>
      </w:pPr>
      <w:r>
        <w:rPr>
          <w:rFonts w:hint="eastAsia" w:ascii="仿宋" w:hAnsi="仿宋" w:eastAsia="仿宋" w:cs="Times New Roman"/>
          <w:bCs/>
          <w:sz w:val="28"/>
          <w:szCs w:val="28"/>
        </w:rPr>
        <w:t>（1）云和县第三次全国国土调查数据；</w:t>
      </w:r>
    </w:p>
    <w:p>
      <w:pPr>
        <w:ind w:firstLine="555"/>
        <w:rPr>
          <w:rFonts w:ascii="仿宋" w:hAnsi="仿宋" w:eastAsia="仿宋" w:cs="Times New Roman"/>
          <w:bCs/>
          <w:sz w:val="28"/>
          <w:szCs w:val="28"/>
        </w:rPr>
      </w:pPr>
      <w:r>
        <w:rPr>
          <w:rFonts w:hint="eastAsia" w:ascii="仿宋" w:hAnsi="仿宋" w:eastAsia="仿宋" w:cs="Times New Roman"/>
          <w:bCs/>
          <w:sz w:val="28"/>
          <w:szCs w:val="28"/>
        </w:rPr>
        <w:t>（2）云和县第二次全国土地调查2018年变更数据；</w:t>
      </w:r>
    </w:p>
    <w:p>
      <w:pPr>
        <w:ind w:firstLine="555"/>
        <w:rPr>
          <w:rFonts w:ascii="仿宋" w:hAnsi="仿宋" w:eastAsia="仿宋" w:cs="Times New Roman"/>
          <w:bCs/>
          <w:sz w:val="28"/>
          <w:szCs w:val="28"/>
        </w:rPr>
      </w:pPr>
      <w:r>
        <w:rPr>
          <w:rFonts w:hint="eastAsia" w:ascii="仿宋" w:hAnsi="仿宋" w:eastAsia="仿宋" w:cs="Times New Roman"/>
          <w:bCs/>
          <w:sz w:val="28"/>
          <w:szCs w:val="28"/>
        </w:rPr>
        <w:t>（3）云和县耕地质量等级评价成果；</w:t>
      </w:r>
    </w:p>
    <w:p>
      <w:pPr>
        <w:ind w:firstLine="555"/>
        <w:rPr>
          <w:rFonts w:ascii="仿宋" w:hAnsi="仿宋" w:eastAsia="仿宋" w:cs="Times New Roman"/>
          <w:bCs/>
          <w:sz w:val="28"/>
          <w:szCs w:val="28"/>
        </w:rPr>
      </w:pPr>
      <w:r>
        <w:rPr>
          <w:rFonts w:hint="eastAsia" w:ascii="仿宋" w:hAnsi="仿宋" w:eastAsia="仿宋" w:cs="Times New Roman"/>
          <w:bCs/>
          <w:sz w:val="28"/>
          <w:szCs w:val="28"/>
        </w:rPr>
        <w:t>（4）云和县耕地质量等别调查评价成果；</w:t>
      </w:r>
    </w:p>
    <w:p>
      <w:pPr>
        <w:ind w:firstLine="555"/>
        <w:rPr>
          <w:rFonts w:ascii="仿宋" w:hAnsi="仿宋" w:eastAsia="仿宋" w:cs="Times New Roman"/>
          <w:bCs/>
          <w:sz w:val="28"/>
          <w:szCs w:val="28"/>
        </w:rPr>
      </w:pPr>
      <w:r>
        <w:rPr>
          <w:rFonts w:hint="eastAsia" w:ascii="仿宋" w:hAnsi="仿宋" w:eastAsia="仿宋" w:cs="Times New Roman"/>
          <w:bCs/>
          <w:sz w:val="28"/>
          <w:szCs w:val="28"/>
        </w:rPr>
        <w:t>（5）云和县粮食生产功能区和重要农产品生产保护区划定成果；</w:t>
      </w:r>
    </w:p>
    <w:p>
      <w:pPr>
        <w:ind w:firstLine="555"/>
        <w:rPr>
          <w:rFonts w:ascii="仿宋" w:hAnsi="仿宋" w:eastAsia="仿宋" w:cs="Times New Roman"/>
          <w:bCs/>
          <w:sz w:val="28"/>
          <w:szCs w:val="28"/>
        </w:rPr>
      </w:pPr>
      <w:r>
        <w:rPr>
          <w:rFonts w:hint="eastAsia" w:ascii="仿宋" w:hAnsi="仿宋" w:eastAsia="仿宋" w:cs="Times New Roman"/>
          <w:bCs/>
          <w:sz w:val="28"/>
          <w:szCs w:val="28"/>
        </w:rPr>
        <w:t>（6）云和县永久基本农田核实整改和储备区划定成果；</w:t>
      </w:r>
    </w:p>
    <w:p>
      <w:pPr>
        <w:ind w:firstLine="555"/>
        <w:rPr>
          <w:rFonts w:ascii="仿宋" w:hAnsi="仿宋" w:eastAsia="仿宋" w:cs="Times New Roman"/>
          <w:bCs/>
          <w:sz w:val="28"/>
          <w:szCs w:val="28"/>
        </w:rPr>
      </w:pPr>
      <w:r>
        <w:rPr>
          <w:rFonts w:hint="eastAsia" w:ascii="仿宋" w:hAnsi="仿宋" w:eastAsia="仿宋" w:cs="Times New Roman"/>
          <w:bCs/>
          <w:sz w:val="28"/>
          <w:szCs w:val="28"/>
        </w:rPr>
        <w:t>（7）《2</w:t>
      </w:r>
      <w:r>
        <w:rPr>
          <w:rFonts w:ascii="仿宋" w:hAnsi="仿宋" w:eastAsia="仿宋" w:cs="Times New Roman"/>
          <w:bCs/>
          <w:sz w:val="28"/>
          <w:szCs w:val="28"/>
        </w:rPr>
        <w:t>0</w:t>
      </w:r>
      <w:r>
        <w:rPr>
          <w:rFonts w:hint="eastAsia" w:ascii="仿宋" w:hAnsi="仿宋" w:eastAsia="仿宋" w:cs="Times New Roman"/>
          <w:bCs/>
          <w:sz w:val="28"/>
          <w:szCs w:val="28"/>
        </w:rPr>
        <w:t>20年云和县统计年鉴》；</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8</w:t>
      </w:r>
      <w:r>
        <w:rPr>
          <w:rFonts w:hint="eastAsia" w:ascii="仿宋" w:hAnsi="仿宋" w:eastAsia="仿宋" w:cs="Times New Roman"/>
          <w:bCs/>
          <w:sz w:val="28"/>
          <w:szCs w:val="28"/>
        </w:rPr>
        <w:t>）2020年云和县国民经济和社会发展统计公报；</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9</w:t>
      </w:r>
      <w:r>
        <w:rPr>
          <w:rFonts w:hint="eastAsia" w:ascii="仿宋" w:hAnsi="仿宋" w:eastAsia="仿宋" w:cs="Times New Roman"/>
          <w:bCs/>
          <w:sz w:val="28"/>
          <w:szCs w:val="28"/>
        </w:rPr>
        <w:t>）其他相关资料。</w:t>
      </w:r>
    </w:p>
    <w:p>
      <w:pPr>
        <w:keepNext/>
        <w:keepLines/>
        <w:spacing w:before="260" w:after="260" w:line="416" w:lineRule="auto"/>
        <w:jc w:val="left"/>
        <w:outlineLvl w:val="1"/>
        <w:rPr>
          <w:rFonts w:ascii="仿宋" w:hAnsi="仿宋" w:eastAsia="仿宋" w:cs="Times New Roman"/>
          <w:b/>
          <w:sz w:val="30"/>
          <w:szCs w:val="30"/>
        </w:rPr>
      </w:pPr>
      <w:bookmarkStart w:id="20" w:name="_Toc95983065"/>
      <w:bookmarkStart w:id="21" w:name="_Toc99549035"/>
      <w:r>
        <w:rPr>
          <w:rFonts w:hint="eastAsia" w:ascii="仿宋" w:hAnsi="仿宋" w:eastAsia="仿宋" w:cs="Times New Roman"/>
          <w:b/>
          <w:sz w:val="30"/>
          <w:szCs w:val="30"/>
        </w:rPr>
        <w:t>四、规划范围与期限</w:t>
      </w:r>
      <w:bookmarkEnd w:id="20"/>
      <w:bookmarkEnd w:id="21"/>
    </w:p>
    <w:p>
      <w:pPr>
        <w:ind w:firstLine="555"/>
        <w:rPr>
          <w:rFonts w:ascii="仿宋" w:hAnsi="仿宋" w:eastAsia="仿宋" w:cs="Times New Roman"/>
          <w:bCs/>
          <w:sz w:val="28"/>
          <w:szCs w:val="28"/>
        </w:rPr>
      </w:pPr>
      <w:r>
        <w:rPr>
          <w:rFonts w:hint="eastAsia" w:ascii="仿宋" w:hAnsi="仿宋" w:eastAsia="仿宋" w:cs="Times New Roman"/>
          <w:bCs/>
          <w:sz w:val="28"/>
          <w:szCs w:val="28"/>
        </w:rPr>
        <w:t>（一）规划范围</w:t>
      </w:r>
    </w:p>
    <w:p>
      <w:pPr>
        <w:ind w:firstLine="555"/>
        <w:rPr>
          <w:rFonts w:ascii="仿宋" w:hAnsi="仿宋" w:eastAsia="仿宋" w:cs="Times New Roman"/>
          <w:bCs/>
          <w:sz w:val="28"/>
          <w:szCs w:val="28"/>
        </w:rPr>
      </w:pPr>
      <w:r>
        <w:rPr>
          <w:rFonts w:hint="eastAsia" w:ascii="仿宋" w:hAnsi="仿宋" w:eastAsia="仿宋" w:cs="Times New Roman"/>
          <w:bCs/>
          <w:sz w:val="28"/>
          <w:szCs w:val="28"/>
        </w:rPr>
        <w:t>以云和县第三次国土调查数据的耕地为基础，规划范围主要为云和县优质耕地和已建成高标准农田。</w:t>
      </w:r>
    </w:p>
    <w:p>
      <w:pPr>
        <w:ind w:firstLine="555"/>
        <w:rPr>
          <w:rFonts w:ascii="仿宋" w:hAnsi="仿宋" w:eastAsia="仿宋" w:cs="Times New Roman"/>
          <w:bCs/>
          <w:sz w:val="28"/>
          <w:szCs w:val="28"/>
        </w:rPr>
      </w:pPr>
      <w:r>
        <w:rPr>
          <w:rFonts w:hint="eastAsia" w:ascii="仿宋" w:hAnsi="仿宋" w:eastAsia="仿宋" w:cs="Times New Roman"/>
          <w:bCs/>
          <w:sz w:val="28"/>
          <w:szCs w:val="28"/>
        </w:rPr>
        <w:t>（二）规划期限</w:t>
      </w:r>
    </w:p>
    <w:p>
      <w:pPr>
        <w:ind w:firstLine="555"/>
        <w:rPr>
          <w:rFonts w:ascii="仿宋" w:hAnsi="仿宋" w:eastAsia="仿宋" w:cs="Times New Roman"/>
          <w:bCs/>
          <w:sz w:val="28"/>
          <w:szCs w:val="28"/>
        </w:rPr>
      </w:pPr>
      <w:r>
        <w:rPr>
          <w:rFonts w:hint="eastAsia" w:ascii="仿宋" w:hAnsi="仿宋" w:eastAsia="仿宋" w:cs="Times New Roman"/>
          <w:bCs/>
          <w:sz w:val="28"/>
          <w:szCs w:val="28"/>
        </w:rPr>
        <w:t>本次规划的基准年为2020年，规划期为2021-2025年。</w:t>
      </w:r>
    </w:p>
    <w:p>
      <w:pPr>
        <w:keepNext/>
        <w:keepLines/>
        <w:spacing w:before="260" w:after="260" w:line="416" w:lineRule="auto"/>
        <w:jc w:val="left"/>
        <w:outlineLvl w:val="1"/>
        <w:rPr>
          <w:rFonts w:ascii="仿宋" w:hAnsi="仿宋" w:eastAsia="仿宋" w:cs="Times New Roman"/>
          <w:b/>
          <w:sz w:val="30"/>
          <w:szCs w:val="30"/>
        </w:rPr>
      </w:pPr>
      <w:bookmarkStart w:id="22" w:name="_Toc99549036"/>
      <w:r>
        <w:rPr>
          <w:rFonts w:hint="eastAsia" w:ascii="仿宋" w:hAnsi="仿宋" w:eastAsia="仿宋" w:cs="Times New Roman"/>
          <w:b/>
          <w:sz w:val="30"/>
          <w:szCs w:val="30"/>
        </w:rPr>
        <w:t>五、目标任务</w:t>
      </w:r>
      <w:bookmarkEnd w:id="22"/>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建设总体目标是：“田地平整肥沃、水利设施配套、田间道路畅通、林网建设适宜、科技先进适用、优质高产高效”。通过高标准农田建设，结合农业新品种、新技术的推广应用和新型农业生产经营主体培育与扶持，提高</w:t>
      </w:r>
      <w:r>
        <w:rPr>
          <w:rFonts w:ascii="仿宋" w:hAnsi="仿宋" w:eastAsia="仿宋" w:cs="Times New Roman"/>
          <w:bCs/>
          <w:sz w:val="28"/>
          <w:szCs w:val="28"/>
        </w:rPr>
        <w:t>亩均粮食综合生产能力，</w:t>
      </w:r>
      <w:r>
        <w:rPr>
          <w:rFonts w:hint="eastAsia" w:ascii="仿宋" w:hAnsi="仿宋" w:eastAsia="仿宋" w:cs="Times New Roman"/>
          <w:bCs/>
          <w:sz w:val="28"/>
          <w:szCs w:val="28"/>
        </w:rPr>
        <w:t>促进</w:t>
      </w:r>
      <w:r>
        <w:rPr>
          <w:rFonts w:ascii="仿宋" w:hAnsi="仿宋" w:eastAsia="仿宋" w:cs="Times New Roman"/>
          <w:bCs/>
          <w:sz w:val="28"/>
          <w:szCs w:val="28"/>
        </w:rPr>
        <w:t>农民人均收入增</w:t>
      </w:r>
      <w:r>
        <w:rPr>
          <w:rFonts w:hint="eastAsia" w:ascii="仿宋" w:hAnsi="仿宋" w:eastAsia="仿宋" w:cs="Times New Roman"/>
          <w:bCs/>
          <w:sz w:val="28"/>
          <w:szCs w:val="28"/>
        </w:rPr>
        <w:t>长</w:t>
      </w:r>
      <w:r>
        <w:rPr>
          <w:rFonts w:ascii="仿宋" w:hAnsi="仿宋" w:eastAsia="仿宋" w:cs="Times New Roman"/>
          <w:bCs/>
          <w:sz w:val="28"/>
          <w:szCs w:val="28"/>
        </w:rPr>
        <w:t>，</w:t>
      </w:r>
      <w:r>
        <w:rPr>
          <w:rFonts w:hint="eastAsia" w:ascii="仿宋" w:hAnsi="仿宋" w:eastAsia="仿宋" w:cs="Times New Roman"/>
          <w:bCs/>
          <w:sz w:val="28"/>
          <w:szCs w:val="28"/>
        </w:rPr>
        <w:t>提升</w:t>
      </w:r>
      <w:r>
        <w:rPr>
          <w:rFonts w:ascii="仿宋" w:hAnsi="仿宋" w:eastAsia="仿宋" w:cs="Times New Roman"/>
          <w:bCs/>
          <w:sz w:val="28"/>
          <w:szCs w:val="28"/>
        </w:rPr>
        <w:t>农作物综合机械化水平。</w:t>
      </w:r>
    </w:p>
    <w:p>
      <w:pPr>
        <w:ind w:firstLine="555"/>
        <w:rPr>
          <w:rFonts w:ascii="仿宋" w:hAnsi="仿宋" w:eastAsia="仿宋" w:cs="Times New Roman"/>
          <w:bCs/>
          <w:sz w:val="28"/>
          <w:szCs w:val="28"/>
        </w:rPr>
      </w:pPr>
      <w:r>
        <w:rPr>
          <w:rFonts w:hint="eastAsia" w:ascii="仿宋" w:hAnsi="仿宋" w:eastAsia="仿宋" w:cs="Times New Roman"/>
          <w:bCs/>
          <w:sz w:val="28"/>
          <w:szCs w:val="28"/>
        </w:rPr>
        <w:t>现状高标准农田保有量8</w:t>
      </w:r>
      <w:r>
        <w:rPr>
          <w:rFonts w:ascii="仿宋" w:hAnsi="仿宋" w:eastAsia="仿宋" w:cs="Times New Roman"/>
          <w:bCs/>
          <w:sz w:val="28"/>
          <w:szCs w:val="28"/>
        </w:rPr>
        <w:t>.12</w:t>
      </w:r>
      <w:r>
        <w:rPr>
          <w:rFonts w:hint="eastAsia" w:ascii="仿宋" w:hAnsi="仿宋" w:eastAsia="仿宋" w:cs="Times New Roman"/>
          <w:bCs/>
          <w:sz w:val="28"/>
          <w:szCs w:val="28"/>
        </w:rPr>
        <w:t>万亩（其中2</w:t>
      </w:r>
      <w:r>
        <w:rPr>
          <w:rFonts w:ascii="仿宋" w:hAnsi="仿宋" w:eastAsia="仿宋" w:cs="Times New Roman"/>
          <w:bCs/>
          <w:sz w:val="28"/>
          <w:szCs w:val="28"/>
        </w:rPr>
        <w:t>021</w:t>
      </w:r>
      <w:r>
        <w:rPr>
          <w:rFonts w:hint="eastAsia" w:ascii="仿宋" w:hAnsi="仿宋" w:eastAsia="仿宋" w:cs="Times New Roman"/>
          <w:bCs/>
          <w:sz w:val="28"/>
          <w:szCs w:val="28"/>
        </w:rPr>
        <w:t>年已建成0</w:t>
      </w:r>
      <w:r>
        <w:rPr>
          <w:rFonts w:ascii="仿宋" w:hAnsi="仿宋" w:eastAsia="仿宋" w:cs="Times New Roman"/>
          <w:bCs/>
          <w:sz w:val="28"/>
          <w:szCs w:val="28"/>
        </w:rPr>
        <w:t>.17</w:t>
      </w:r>
      <w:r>
        <w:rPr>
          <w:rFonts w:hint="eastAsia" w:ascii="仿宋" w:hAnsi="仿宋" w:eastAsia="仿宋" w:cs="Times New Roman"/>
          <w:bCs/>
          <w:sz w:val="28"/>
          <w:szCs w:val="28"/>
        </w:rPr>
        <w:t>万亩），按照已建高标准农田提质改造、绿色农田建设、宜机化改造建设、高效节水灌溉农田建设四步走的战略部署，确定规划期末已建高标准农田提质改造0.</w:t>
      </w:r>
      <w:r>
        <w:rPr>
          <w:rFonts w:ascii="仿宋" w:hAnsi="仿宋" w:eastAsia="仿宋" w:cs="Times New Roman"/>
          <w:bCs/>
          <w:sz w:val="28"/>
          <w:szCs w:val="28"/>
        </w:rPr>
        <w:t>73</w:t>
      </w:r>
      <w:r>
        <w:rPr>
          <w:rFonts w:hint="eastAsia" w:ascii="仿宋" w:hAnsi="仿宋" w:eastAsia="仿宋" w:cs="Times New Roman"/>
          <w:bCs/>
          <w:sz w:val="28"/>
          <w:szCs w:val="28"/>
        </w:rPr>
        <w:t>万亩，宜机化改造0.</w:t>
      </w:r>
      <w:r>
        <w:rPr>
          <w:rFonts w:ascii="仿宋" w:hAnsi="仿宋" w:eastAsia="仿宋" w:cs="Times New Roman"/>
          <w:bCs/>
          <w:sz w:val="28"/>
          <w:szCs w:val="28"/>
        </w:rPr>
        <w:t>21</w:t>
      </w:r>
      <w:r>
        <w:rPr>
          <w:rFonts w:hint="eastAsia" w:ascii="仿宋" w:hAnsi="仿宋" w:eastAsia="仿宋" w:cs="Times New Roman"/>
          <w:bCs/>
          <w:sz w:val="28"/>
          <w:szCs w:val="28"/>
        </w:rPr>
        <w:t>万亩，绿色农田建设0.</w:t>
      </w:r>
      <w:r>
        <w:rPr>
          <w:rFonts w:ascii="仿宋" w:hAnsi="仿宋" w:eastAsia="仿宋" w:cs="Times New Roman"/>
          <w:bCs/>
          <w:sz w:val="28"/>
          <w:szCs w:val="28"/>
        </w:rPr>
        <w:t>21</w:t>
      </w:r>
      <w:r>
        <w:rPr>
          <w:rFonts w:hint="eastAsia" w:ascii="仿宋" w:hAnsi="仿宋" w:eastAsia="仿宋" w:cs="Times New Roman"/>
          <w:bCs/>
          <w:sz w:val="28"/>
          <w:szCs w:val="28"/>
        </w:rPr>
        <w:t>万亩、高效节水灌溉农田0</w:t>
      </w:r>
      <w:r>
        <w:rPr>
          <w:rFonts w:ascii="仿宋" w:hAnsi="仿宋" w:eastAsia="仿宋" w:cs="Times New Roman"/>
          <w:bCs/>
          <w:sz w:val="28"/>
          <w:szCs w:val="28"/>
        </w:rPr>
        <w:t>.04</w:t>
      </w:r>
      <w:r>
        <w:rPr>
          <w:rFonts w:hint="eastAsia" w:ascii="仿宋" w:hAnsi="仿宋" w:eastAsia="仿宋" w:cs="Times New Roman"/>
          <w:bCs/>
          <w:sz w:val="28"/>
          <w:szCs w:val="28"/>
        </w:rPr>
        <w:t>万亩。 至规划期末，高标准农田保有量达8</w:t>
      </w:r>
      <w:r>
        <w:rPr>
          <w:rFonts w:ascii="仿宋" w:hAnsi="仿宋" w:eastAsia="仿宋" w:cs="Times New Roman"/>
          <w:bCs/>
          <w:sz w:val="28"/>
          <w:szCs w:val="28"/>
        </w:rPr>
        <w:t>.16</w:t>
      </w:r>
      <w:r>
        <w:rPr>
          <w:rFonts w:hint="eastAsia" w:ascii="仿宋" w:hAnsi="仿宋" w:eastAsia="仿宋" w:cs="Times New Roman"/>
          <w:bCs/>
          <w:sz w:val="28"/>
          <w:szCs w:val="28"/>
        </w:rPr>
        <w:t>万亩。</w:t>
      </w:r>
    </w:p>
    <w:p>
      <w:pPr>
        <w:widowControl/>
        <w:jc w:val="left"/>
        <w:rPr>
          <w:rFonts w:ascii="仿宋" w:hAnsi="仿宋" w:eastAsia="仿宋" w:cs="Times New Roman"/>
          <w:bCs/>
          <w:sz w:val="24"/>
          <w:szCs w:val="28"/>
        </w:rPr>
      </w:pPr>
      <w:r>
        <w:rPr>
          <w:rFonts w:ascii="仿宋" w:hAnsi="仿宋" w:eastAsia="仿宋" w:cs="Times New Roman"/>
          <w:bCs/>
          <w:sz w:val="24"/>
          <w:szCs w:val="28"/>
        </w:rPr>
        <w:br w:type="page"/>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表3-1</w:t>
      </w:r>
      <w:r>
        <w:rPr>
          <w:rFonts w:ascii="仿宋" w:hAnsi="仿宋" w:eastAsia="仿宋" w:cs="Times New Roman"/>
          <w:bCs/>
          <w:sz w:val="24"/>
          <w:szCs w:val="28"/>
        </w:rPr>
        <w:t>“</w:t>
      </w:r>
      <w:r>
        <w:rPr>
          <w:rFonts w:hint="eastAsia" w:ascii="仿宋" w:hAnsi="仿宋" w:eastAsia="仿宋" w:cs="Times New Roman"/>
          <w:bCs/>
          <w:sz w:val="24"/>
          <w:szCs w:val="28"/>
        </w:rPr>
        <w:t>十四五</w:t>
      </w:r>
      <w:r>
        <w:rPr>
          <w:rFonts w:ascii="仿宋" w:hAnsi="仿宋" w:eastAsia="仿宋" w:cs="Times New Roman"/>
          <w:bCs/>
          <w:sz w:val="24"/>
          <w:szCs w:val="28"/>
        </w:rPr>
        <w:t>”</w:t>
      </w:r>
      <w:r>
        <w:rPr>
          <w:rFonts w:hint="eastAsia" w:ascii="仿宋" w:hAnsi="仿宋" w:eastAsia="仿宋" w:cs="Times New Roman"/>
          <w:bCs/>
          <w:sz w:val="24"/>
          <w:szCs w:val="28"/>
        </w:rPr>
        <w:t>云和县高标准农田建设主要指标表</w:t>
      </w:r>
    </w:p>
    <w:tbl>
      <w:tblPr>
        <w:tblStyle w:val="85"/>
        <w:tblW w:w="5000" w:type="pct"/>
        <w:tblInd w:w="0" w:type="dxa"/>
        <w:tblLayout w:type="autofit"/>
        <w:tblCellMar>
          <w:top w:w="0" w:type="dxa"/>
          <w:left w:w="108" w:type="dxa"/>
          <w:bottom w:w="0" w:type="dxa"/>
          <w:right w:w="108" w:type="dxa"/>
        </w:tblCellMar>
      </w:tblPr>
      <w:tblGrid>
        <w:gridCol w:w="782"/>
        <w:gridCol w:w="4165"/>
        <w:gridCol w:w="2528"/>
        <w:gridCol w:w="1047"/>
      </w:tblGrid>
      <w:tr>
        <w:tblPrEx>
          <w:tblCellMar>
            <w:top w:w="0" w:type="dxa"/>
            <w:left w:w="108" w:type="dxa"/>
            <w:bottom w:w="0" w:type="dxa"/>
            <w:right w:w="108" w:type="dxa"/>
          </w:tblCellMar>
        </w:tblPrEx>
        <w:trPr>
          <w:trHeight w:val="300" w:hRule="atLeast"/>
        </w:trPr>
        <w:tc>
          <w:tcPr>
            <w:tcW w:w="459" w:type="pct"/>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bookmarkStart w:id="23" w:name="RANGE!A1"/>
            <w:r>
              <w:rPr>
                <w:rFonts w:hint="eastAsia" w:ascii="仿宋" w:hAnsi="仿宋" w:eastAsia="仿宋" w:cs="宋体"/>
                <w:bCs/>
                <w:color w:val="000000"/>
                <w:kern w:val="0"/>
                <w:sz w:val="22"/>
              </w:rPr>
              <w:t>序号</w:t>
            </w:r>
            <w:bookmarkEnd w:id="23"/>
          </w:p>
        </w:tc>
        <w:tc>
          <w:tcPr>
            <w:tcW w:w="2443" w:type="pct"/>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指标</w:t>
            </w:r>
          </w:p>
        </w:tc>
        <w:tc>
          <w:tcPr>
            <w:tcW w:w="1483" w:type="pct"/>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目标值</w:t>
            </w:r>
          </w:p>
        </w:tc>
        <w:tc>
          <w:tcPr>
            <w:tcW w:w="614" w:type="pct"/>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属性</w:t>
            </w:r>
          </w:p>
        </w:tc>
      </w:tr>
      <w:tr>
        <w:tblPrEx>
          <w:tblCellMar>
            <w:top w:w="0" w:type="dxa"/>
            <w:left w:w="108" w:type="dxa"/>
            <w:bottom w:w="0" w:type="dxa"/>
            <w:right w:w="108" w:type="dxa"/>
          </w:tblCellMar>
        </w:tblPrEx>
        <w:trPr>
          <w:trHeight w:val="300" w:hRule="atLeast"/>
        </w:trPr>
        <w:tc>
          <w:tcPr>
            <w:tcW w:w="459"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1</w:t>
            </w:r>
          </w:p>
        </w:tc>
        <w:tc>
          <w:tcPr>
            <w:tcW w:w="2443"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高标准农田保有量</w:t>
            </w:r>
          </w:p>
        </w:tc>
        <w:tc>
          <w:tcPr>
            <w:tcW w:w="1483"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8.16万亩</w:t>
            </w:r>
          </w:p>
        </w:tc>
        <w:tc>
          <w:tcPr>
            <w:tcW w:w="614"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约束性</w:t>
            </w:r>
          </w:p>
        </w:tc>
      </w:tr>
      <w:tr>
        <w:tblPrEx>
          <w:tblCellMar>
            <w:top w:w="0" w:type="dxa"/>
            <w:left w:w="108" w:type="dxa"/>
            <w:bottom w:w="0" w:type="dxa"/>
            <w:right w:w="108" w:type="dxa"/>
          </w:tblCellMar>
        </w:tblPrEx>
        <w:trPr>
          <w:trHeight w:val="300" w:hRule="atLeast"/>
        </w:trPr>
        <w:tc>
          <w:tcPr>
            <w:tcW w:w="459"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w:t>
            </w:r>
          </w:p>
        </w:tc>
        <w:tc>
          <w:tcPr>
            <w:tcW w:w="2443"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新增已建高标准农田提质改造面积</w:t>
            </w:r>
          </w:p>
        </w:tc>
        <w:tc>
          <w:tcPr>
            <w:tcW w:w="1483"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0.73万亩</w:t>
            </w:r>
          </w:p>
        </w:tc>
        <w:tc>
          <w:tcPr>
            <w:tcW w:w="614"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约束性</w:t>
            </w:r>
          </w:p>
        </w:tc>
      </w:tr>
      <w:tr>
        <w:tblPrEx>
          <w:tblCellMar>
            <w:top w:w="0" w:type="dxa"/>
            <w:left w:w="108" w:type="dxa"/>
            <w:bottom w:w="0" w:type="dxa"/>
            <w:right w:w="108" w:type="dxa"/>
          </w:tblCellMar>
        </w:tblPrEx>
        <w:trPr>
          <w:trHeight w:val="300" w:hRule="atLeast"/>
        </w:trPr>
        <w:tc>
          <w:tcPr>
            <w:tcW w:w="459"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3</w:t>
            </w:r>
          </w:p>
        </w:tc>
        <w:tc>
          <w:tcPr>
            <w:tcW w:w="2443"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新增绿色农田面积</w:t>
            </w:r>
          </w:p>
        </w:tc>
        <w:tc>
          <w:tcPr>
            <w:tcW w:w="1483"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0.21万亩</w:t>
            </w:r>
          </w:p>
        </w:tc>
        <w:tc>
          <w:tcPr>
            <w:tcW w:w="614"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约束性</w:t>
            </w:r>
          </w:p>
        </w:tc>
      </w:tr>
      <w:tr>
        <w:tblPrEx>
          <w:tblCellMar>
            <w:top w:w="0" w:type="dxa"/>
            <w:left w:w="108" w:type="dxa"/>
            <w:bottom w:w="0" w:type="dxa"/>
            <w:right w:w="108" w:type="dxa"/>
          </w:tblCellMar>
        </w:tblPrEx>
        <w:trPr>
          <w:trHeight w:val="300" w:hRule="atLeast"/>
        </w:trPr>
        <w:tc>
          <w:tcPr>
            <w:tcW w:w="459"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4</w:t>
            </w:r>
          </w:p>
        </w:tc>
        <w:tc>
          <w:tcPr>
            <w:tcW w:w="2443"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新增宜机化改造面积</w:t>
            </w:r>
          </w:p>
        </w:tc>
        <w:tc>
          <w:tcPr>
            <w:tcW w:w="1483"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0.21万亩</w:t>
            </w:r>
          </w:p>
        </w:tc>
        <w:tc>
          <w:tcPr>
            <w:tcW w:w="614"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约束性</w:t>
            </w:r>
          </w:p>
        </w:tc>
      </w:tr>
      <w:tr>
        <w:tblPrEx>
          <w:tblCellMar>
            <w:top w:w="0" w:type="dxa"/>
            <w:left w:w="108" w:type="dxa"/>
            <w:bottom w:w="0" w:type="dxa"/>
            <w:right w:w="108" w:type="dxa"/>
          </w:tblCellMar>
        </w:tblPrEx>
        <w:trPr>
          <w:trHeight w:val="300" w:hRule="atLeast"/>
        </w:trPr>
        <w:tc>
          <w:tcPr>
            <w:tcW w:w="459"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5</w:t>
            </w:r>
          </w:p>
        </w:tc>
        <w:tc>
          <w:tcPr>
            <w:tcW w:w="2443"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新增高效节水灌溉面积</w:t>
            </w:r>
          </w:p>
        </w:tc>
        <w:tc>
          <w:tcPr>
            <w:tcW w:w="1483"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0.04万亩</w:t>
            </w:r>
          </w:p>
        </w:tc>
        <w:tc>
          <w:tcPr>
            <w:tcW w:w="614"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约束性</w:t>
            </w:r>
          </w:p>
        </w:tc>
      </w:tr>
      <w:tr>
        <w:tblPrEx>
          <w:tblCellMar>
            <w:top w:w="0" w:type="dxa"/>
            <w:left w:w="108" w:type="dxa"/>
            <w:bottom w:w="0" w:type="dxa"/>
            <w:right w:w="108" w:type="dxa"/>
          </w:tblCellMar>
        </w:tblPrEx>
        <w:trPr>
          <w:trHeight w:val="825" w:hRule="atLeast"/>
        </w:trPr>
        <w:tc>
          <w:tcPr>
            <w:tcW w:w="459"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6</w:t>
            </w:r>
          </w:p>
        </w:tc>
        <w:tc>
          <w:tcPr>
            <w:tcW w:w="2443"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新增粮食综合生产能力</w:t>
            </w:r>
          </w:p>
        </w:tc>
        <w:tc>
          <w:tcPr>
            <w:tcW w:w="1483"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新增高标准农田亩均产能提高100公斤以上</w:t>
            </w:r>
          </w:p>
        </w:tc>
        <w:tc>
          <w:tcPr>
            <w:tcW w:w="614"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预期性</w:t>
            </w:r>
          </w:p>
        </w:tc>
      </w:tr>
      <w:tr>
        <w:tblPrEx>
          <w:tblCellMar>
            <w:top w:w="0" w:type="dxa"/>
            <w:left w:w="108" w:type="dxa"/>
            <w:bottom w:w="0" w:type="dxa"/>
            <w:right w:w="108" w:type="dxa"/>
          </w:tblCellMar>
        </w:tblPrEx>
        <w:trPr>
          <w:trHeight w:val="825" w:hRule="atLeast"/>
        </w:trPr>
        <w:tc>
          <w:tcPr>
            <w:tcW w:w="459" w:type="pct"/>
            <w:vMerge w:val="continue"/>
            <w:tcBorders>
              <w:top w:val="nil"/>
              <w:left w:val="single" w:color="auto" w:sz="8" w:space="0"/>
              <w:bottom w:val="single" w:color="000000" w:sz="8" w:space="0"/>
              <w:right w:val="single" w:color="auto" w:sz="8" w:space="0"/>
            </w:tcBorders>
            <w:vAlign w:val="center"/>
          </w:tcPr>
          <w:p>
            <w:pPr>
              <w:widowControl/>
              <w:jc w:val="left"/>
              <w:rPr>
                <w:rFonts w:ascii="仿宋" w:hAnsi="仿宋" w:eastAsia="仿宋" w:cs="宋体"/>
                <w:bCs/>
                <w:color w:val="000000"/>
                <w:kern w:val="0"/>
                <w:sz w:val="22"/>
              </w:rPr>
            </w:pPr>
          </w:p>
        </w:tc>
        <w:tc>
          <w:tcPr>
            <w:tcW w:w="2443" w:type="pct"/>
            <w:vMerge w:val="continue"/>
            <w:tcBorders>
              <w:top w:val="nil"/>
              <w:left w:val="single" w:color="auto" w:sz="8" w:space="0"/>
              <w:bottom w:val="single" w:color="000000" w:sz="8" w:space="0"/>
              <w:right w:val="single" w:color="auto" w:sz="8" w:space="0"/>
            </w:tcBorders>
            <w:vAlign w:val="center"/>
          </w:tcPr>
          <w:p>
            <w:pPr>
              <w:widowControl/>
              <w:jc w:val="left"/>
              <w:rPr>
                <w:rFonts w:ascii="仿宋" w:hAnsi="仿宋" w:eastAsia="仿宋" w:cs="宋体"/>
                <w:bCs/>
                <w:color w:val="000000"/>
                <w:kern w:val="0"/>
                <w:sz w:val="22"/>
              </w:rPr>
            </w:pPr>
          </w:p>
        </w:tc>
        <w:tc>
          <w:tcPr>
            <w:tcW w:w="1483"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改造提升高标准农田产能不低于高标准农田产能的平均水平</w:t>
            </w:r>
          </w:p>
        </w:tc>
        <w:tc>
          <w:tcPr>
            <w:tcW w:w="614" w:type="pct"/>
            <w:vMerge w:val="continue"/>
            <w:tcBorders>
              <w:top w:val="nil"/>
              <w:left w:val="single" w:color="auto" w:sz="8" w:space="0"/>
              <w:bottom w:val="single" w:color="000000" w:sz="8" w:space="0"/>
              <w:right w:val="single" w:color="auto" w:sz="8" w:space="0"/>
            </w:tcBorders>
            <w:vAlign w:val="center"/>
          </w:tcPr>
          <w:p>
            <w:pPr>
              <w:widowControl/>
              <w:jc w:val="left"/>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555" w:hRule="atLeast"/>
        </w:trPr>
        <w:tc>
          <w:tcPr>
            <w:tcW w:w="459"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7</w:t>
            </w:r>
          </w:p>
        </w:tc>
        <w:tc>
          <w:tcPr>
            <w:tcW w:w="2443"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抗御自然灾害能力</w:t>
            </w:r>
          </w:p>
        </w:tc>
        <w:tc>
          <w:tcPr>
            <w:tcW w:w="1483"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平均降低粮食水灾旱灾损失率12.5%</w:t>
            </w:r>
          </w:p>
        </w:tc>
        <w:tc>
          <w:tcPr>
            <w:tcW w:w="614"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预期性</w:t>
            </w:r>
          </w:p>
        </w:tc>
      </w:tr>
      <w:tr>
        <w:tblPrEx>
          <w:tblCellMar>
            <w:top w:w="0" w:type="dxa"/>
            <w:left w:w="108" w:type="dxa"/>
            <w:bottom w:w="0" w:type="dxa"/>
            <w:right w:w="108" w:type="dxa"/>
          </w:tblCellMar>
        </w:tblPrEx>
        <w:trPr>
          <w:trHeight w:val="300" w:hRule="atLeast"/>
        </w:trPr>
        <w:tc>
          <w:tcPr>
            <w:tcW w:w="459"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8</w:t>
            </w:r>
          </w:p>
        </w:tc>
        <w:tc>
          <w:tcPr>
            <w:tcW w:w="2443"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建成高标准农田上图入库覆盖率</w:t>
            </w:r>
          </w:p>
        </w:tc>
        <w:tc>
          <w:tcPr>
            <w:tcW w:w="1483"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实现100%全覆盖</w:t>
            </w:r>
          </w:p>
        </w:tc>
        <w:tc>
          <w:tcPr>
            <w:tcW w:w="614"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预期性</w:t>
            </w:r>
          </w:p>
        </w:tc>
      </w:tr>
      <w:tr>
        <w:tblPrEx>
          <w:tblCellMar>
            <w:top w:w="0" w:type="dxa"/>
            <w:left w:w="108" w:type="dxa"/>
            <w:bottom w:w="0" w:type="dxa"/>
            <w:right w:w="108" w:type="dxa"/>
          </w:tblCellMar>
        </w:tblPrEx>
        <w:trPr>
          <w:trHeight w:val="300" w:hRule="atLeast"/>
        </w:trPr>
        <w:tc>
          <w:tcPr>
            <w:tcW w:w="459"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9</w:t>
            </w:r>
          </w:p>
        </w:tc>
        <w:tc>
          <w:tcPr>
            <w:tcW w:w="2443"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永久基本农田中高标准农田的比例</w:t>
            </w:r>
          </w:p>
        </w:tc>
        <w:tc>
          <w:tcPr>
            <w:tcW w:w="1483"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Cs w:val="21"/>
              </w:rPr>
            </w:pPr>
            <w:r>
              <w:rPr>
                <w:rFonts w:ascii="仿宋" w:hAnsi="仿宋" w:eastAsia="仿宋" w:cs="宋体"/>
                <w:bCs/>
                <w:color w:val="000000"/>
                <w:kern w:val="0"/>
                <w:szCs w:val="21"/>
              </w:rPr>
              <w:t>48.14</w:t>
            </w:r>
            <w:r>
              <w:rPr>
                <w:rFonts w:hint="eastAsia" w:ascii="仿宋" w:hAnsi="仿宋" w:eastAsia="仿宋" w:cs="宋体"/>
                <w:bCs/>
                <w:color w:val="000000"/>
                <w:kern w:val="0"/>
                <w:szCs w:val="21"/>
              </w:rPr>
              <w:t>%</w:t>
            </w:r>
          </w:p>
        </w:tc>
        <w:tc>
          <w:tcPr>
            <w:tcW w:w="614"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预期性</w:t>
            </w:r>
          </w:p>
        </w:tc>
      </w:tr>
      <w:tr>
        <w:tblPrEx>
          <w:tblCellMar>
            <w:top w:w="0" w:type="dxa"/>
            <w:left w:w="108" w:type="dxa"/>
            <w:bottom w:w="0" w:type="dxa"/>
            <w:right w:w="108" w:type="dxa"/>
          </w:tblCellMar>
        </w:tblPrEx>
        <w:trPr>
          <w:trHeight w:val="300" w:hRule="atLeast"/>
        </w:trPr>
        <w:tc>
          <w:tcPr>
            <w:tcW w:w="459"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10</w:t>
            </w:r>
          </w:p>
        </w:tc>
        <w:tc>
          <w:tcPr>
            <w:tcW w:w="2443"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粮食生产功能区中高标准农田的比例</w:t>
            </w:r>
          </w:p>
        </w:tc>
        <w:tc>
          <w:tcPr>
            <w:tcW w:w="1483"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Cs w:val="21"/>
              </w:rPr>
            </w:pPr>
            <w:r>
              <w:rPr>
                <w:rFonts w:ascii="仿宋" w:hAnsi="仿宋" w:eastAsia="仿宋" w:cs="宋体"/>
                <w:bCs/>
                <w:color w:val="000000"/>
                <w:kern w:val="0"/>
                <w:szCs w:val="21"/>
              </w:rPr>
              <w:t>7</w:t>
            </w:r>
            <w:r>
              <w:rPr>
                <w:rFonts w:hint="eastAsia" w:ascii="仿宋" w:hAnsi="仿宋" w:eastAsia="仿宋" w:cs="宋体"/>
                <w:bCs/>
                <w:color w:val="000000"/>
                <w:kern w:val="0"/>
                <w:szCs w:val="21"/>
              </w:rPr>
              <w:t>6.</w:t>
            </w:r>
            <w:r>
              <w:rPr>
                <w:rFonts w:ascii="仿宋" w:hAnsi="仿宋" w:eastAsia="仿宋" w:cs="宋体"/>
                <w:bCs/>
                <w:color w:val="000000"/>
                <w:kern w:val="0"/>
                <w:szCs w:val="21"/>
              </w:rPr>
              <w:t>06</w:t>
            </w:r>
            <w:r>
              <w:rPr>
                <w:rFonts w:hint="eastAsia" w:ascii="仿宋" w:hAnsi="仿宋" w:eastAsia="仿宋" w:cs="宋体"/>
                <w:bCs/>
                <w:color w:val="000000"/>
                <w:kern w:val="0"/>
                <w:szCs w:val="21"/>
              </w:rPr>
              <w:t>%</w:t>
            </w:r>
          </w:p>
        </w:tc>
        <w:tc>
          <w:tcPr>
            <w:tcW w:w="614"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预期性</w:t>
            </w:r>
          </w:p>
        </w:tc>
      </w:tr>
      <w:bookmarkEnd w:id="1"/>
      <w:bookmarkEnd w:id="2"/>
      <w:bookmarkEnd w:id="9"/>
      <w:bookmarkEnd w:id="10"/>
    </w:tbl>
    <w:p>
      <w:pPr>
        <w:widowControl/>
        <w:jc w:val="left"/>
        <w:rPr>
          <w:rFonts w:ascii="仿宋" w:hAnsi="仿宋" w:eastAsia="仿宋" w:cs="Times New Roman"/>
          <w:bCs/>
          <w:kern w:val="44"/>
          <w:sz w:val="36"/>
          <w:szCs w:val="36"/>
        </w:rPr>
      </w:pPr>
      <w:bookmarkStart w:id="24" w:name="_Toc95983073"/>
      <w:r>
        <w:rPr>
          <w:rFonts w:ascii="仿宋" w:hAnsi="仿宋" w:eastAsia="仿宋" w:cs="Times New Roman"/>
          <w:bCs/>
          <w:kern w:val="44"/>
          <w:sz w:val="36"/>
          <w:szCs w:val="36"/>
        </w:rPr>
        <w:br w:type="page"/>
      </w:r>
    </w:p>
    <w:p>
      <w:pPr>
        <w:keepNext/>
        <w:keepLines/>
        <w:tabs>
          <w:tab w:val="left" w:pos="2700"/>
        </w:tabs>
        <w:spacing w:before="340" w:after="330" w:line="578" w:lineRule="auto"/>
        <w:jc w:val="center"/>
        <w:outlineLvl w:val="0"/>
        <w:rPr>
          <w:rFonts w:ascii="仿宋" w:hAnsi="仿宋" w:eastAsia="仿宋" w:cs="Times New Roman"/>
          <w:b/>
          <w:kern w:val="44"/>
          <w:sz w:val="36"/>
          <w:szCs w:val="36"/>
        </w:rPr>
      </w:pPr>
      <w:bookmarkStart w:id="25" w:name="_Toc99549037"/>
      <w:r>
        <w:rPr>
          <w:rFonts w:hint="eastAsia" w:ascii="仿宋" w:hAnsi="仿宋" w:eastAsia="仿宋" w:cs="Times New Roman"/>
          <w:b/>
          <w:kern w:val="44"/>
          <w:sz w:val="36"/>
          <w:szCs w:val="36"/>
        </w:rPr>
        <w:t xml:space="preserve">第三章 </w:t>
      </w:r>
      <w:r>
        <w:rPr>
          <w:rFonts w:ascii="仿宋" w:hAnsi="仿宋" w:eastAsia="仿宋" w:cs="Times New Roman"/>
          <w:b/>
          <w:kern w:val="44"/>
          <w:sz w:val="36"/>
          <w:szCs w:val="36"/>
        </w:rPr>
        <w:t xml:space="preserve"> </w:t>
      </w:r>
      <w:r>
        <w:rPr>
          <w:rFonts w:hint="eastAsia" w:ascii="仿宋" w:hAnsi="仿宋" w:eastAsia="仿宋" w:cs="Times New Roman"/>
          <w:b/>
          <w:kern w:val="44"/>
          <w:sz w:val="36"/>
          <w:szCs w:val="36"/>
        </w:rPr>
        <w:t>潜力分析</w:t>
      </w:r>
      <w:bookmarkEnd w:id="24"/>
      <w:r>
        <w:rPr>
          <w:rFonts w:hint="eastAsia" w:ascii="仿宋" w:hAnsi="仿宋" w:eastAsia="仿宋" w:cs="Times New Roman"/>
          <w:b/>
          <w:kern w:val="44"/>
          <w:sz w:val="36"/>
          <w:szCs w:val="36"/>
        </w:rPr>
        <w:t>与空间布局</w:t>
      </w:r>
      <w:bookmarkEnd w:id="25"/>
    </w:p>
    <w:p>
      <w:pPr>
        <w:keepNext/>
        <w:keepLines/>
        <w:spacing w:before="260" w:after="260" w:line="416" w:lineRule="auto"/>
        <w:jc w:val="left"/>
        <w:outlineLvl w:val="1"/>
        <w:rPr>
          <w:rFonts w:ascii="仿宋" w:hAnsi="仿宋" w:eastAsia="仿宋" w:cs="Times New Roman"/>
          <w:b/>
          <w:sz w:val="30"/>
          <w:szCs w:val="30"/>
        </w:rPr>
      </w:pPr>
      <w:bookmarkStart w:id="26" w:name="_Toc99549038"/>
      <w:bookmarkStart w:id="27" w:name="_Toc95983076"/>
      <w:r>
        <w:rPr>
          <w:rFonts w:hint="eastAsia" w:ascii="仿宋" w:hAnsi="仿宋" w:eastAsia="仿宋" w:cs="Times New Roman"/>
          <w:b/>
          <w:sz w:val="30"/>
          <w:szCs w:val="30"/>
        </w:rPr>
        <w:t>一、潜力分析</w:t>
      </w:r>
      <w:bookmarkEnd w:id="26"/>
      <w:bookmarkEnd w:id="27"/>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建设选择相对集中连片，符合自然资源、生态环境、水利等部门相关规划，具备充足的光热资源、适合农作物生长需求的土壤、可供利用满足农田灌溉需水量和水质要求的水资源、有一定基础设施条件的区域。尽量避开水资源匮乏，水土流失易发区等生态脆弱和易受自然灾害损毁，历史遗留的挖损、坍塌、压占等造成土地严重损毁且难以恢复的区域。禁止在河流、湖泊、水库水面及其他保护范围内建设高标准农田。从农业生产实际来看，以下几类耕地不适宜开展高标准农田建设：</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1）“非粮化”耕地，如成片种植苗木、实地为鱼塘、耕作层已经破坏的耕地</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2）位于城乡建设扩展边界、生态红线保护区内的耕地</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ascii="仿宋" w:hAnsi="仿宋" w:eastAsia="仿宋" w:cs="Times New Roman"/>
          <w:bCs/>
          <w:sz w:val="28"/>
          <w:szCs w:val="28"/>
        </w:rPr>
        <w:t>（3）地质灾害防治规划的重点防治区内的耕地</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4）重点饮用水水源保护区、生态环境功能区范围内的耕地</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5）集中连片度不高（即连片度低于50亩）的耕地（周边已建有高标准农田的区域除外）</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w:t>
      </w:r>
      <w:r>
        <w:rPr>
          <w:rFonts w:ascii="仿宋" w:hAnsi="仿宋" w:eastAsia="仿宋" w:cs="Times New Roman"/>
          <w:bCs/>
          <w:sz w:val="28"/>
          <w:szCs w:val="28"/>
        </w:rPr>
        <w:t>6）地块所属农户政策处理难度大的耕地。</w:t>
      </w:r>
    </w:p>
    <w:p>
      <w:pPr>
        <w:widowControl/>
        <w:jc w:val="left"/>
        <w:rPr>
          <w:rFonts w:ascii="仿宋" w:hAnsi="仿宋" w:eastAsia="仿宋" w:cs="Times New Roman"/>
          <w:bCs/>
          <w:sz w:val="24"/>
          <w:szCs w:val="28"/>
        </w:rPr>
      </w:pPr>
      <w:r>
        <w:rPr>
          <w:rFonts w:ascii="仿宋" w:hAnsi="仿宋" w:eastAsia="仿宋" w:cs="Times New Roman"/>
          <w:bCs/>
          <w:sz w:val="24"/>
          <w:szCs w:val="28"/>
        </w:rPr>
        <w:br w:type="page"/>
      </w:r>
    </w:p>
    <w:p>
      <w:pPr>
        <w:ind w:left="1440"/>
        <w:jc w:val="center"/>
        <w:rPr>
          <w:rFonts w:ascii="仿宋" w:hAnsi="仿宋" w:eastAsia="仿宋" w:cs="Times New Roman"/>
          <w:bCs/>
          <w:sz w:val="24"/>
          <w:szCs w:val="28"/>
        </w:rPr>
      </w:pPr>
      <w:r>
        <w:rPr>
          <w:rFonts w:hint="eastAsia" w:ascii="仿宋" w:hAnsi="仿宋" w:eastAsia="仿宋" w:cs="Times New Roman"/>
          <w:bCs/>
          <w:sz w:val="24"/>
          <w:szCs w:val="28"/>
        </w:rPr>
        <w:t>表</w:t>
      </w:r>
      <w:r>
        <w:rPr>
          <w:rFonts w:ascii="仿宋" w:hAnsi="仿宋" w:eastAsia="仿宋" w:cs="Times New Roman"/>
          <w:bCs/>
          <w:sz w:val="24"/>
          <w:szCs w:val="28"/>
        </w:rPr>
        <w:t>3-1</w:t>
      </w:r>
      <w:r>
        <w:rPr>
          <w:rFonts w:hint="eastAsia" w:ascii="仿宋" w:hAnsi="仿宋" w:eastAsia="仿宋" w:cs="Times New Roman"/>
          <w:bCs/>
          <w:sz w:val="24"/>
          <w:szCs w:val="28"/>
        </w:rPr>
        <w:t>云和县高标准农田建设可实现潜力分析表</w:t>
      </w:r>
    </w:p>
    <w:p>
      <w:pPr>
        <w:ind w:left="1440"/>
        <w:jc w:val="right"/>
        <w:rPr>
          <w:rFonts w:ascii="仿宋" w:hAnsi="仿宋" w:eastAsia="仿宋" w:cs="Times New Roman"/>
          <w:bCs/>
          <w:sz w:val="24"/>
          <w:szCs w:val="28"/>
        </w:rPr>
      </w:pPr>
      <w:r>
        <w:rPr>
          <w:rFonts w:hint="eastAsia" w:ascii="仿宋" w:hAnsi="仿宋" w:eastAsia="仿宋" w:cs="Times New Roman"/>
          <w:bCs/>
          <w:sz w:val="24"/>
          <w:szCs w:val="28"/>
        </w:rPr>
        <w:t>单位：万亩</w:t>
      </w:r>
    </w:p>
    <w:tbl>
      <w:tblPr>
        <w:tblStyle w:val="85"/>
        <w:tblW w:w="5000" w:type="pct"/>
        <w:tblInd w:w="0" w:type="dxa"/>
        <w:tblLayout w:type="autofit"/>
        <w:tblCellMar>
          <w:top w:w="0" w:type="dxa"/>
          <w:left w:w="108" w:type="dxa"/>
          <w:bottom w:w="0" w:type="dxa"/>
          <w:right w:w="108" w:type="dxa"/>
        </w:tblCellMar>
      </w:tblPr>
      <w:tblGrid>
        <w:gridCol w:w="1726"/>
        <w:gridCol w:w="1507"/>
        <w:gridCol w:w="1602"/>
        <w:gridCol w:w="1229"/>
        <w:gridCol w:w="1229"/>
        <w:gridCol w:w="1229"/>
      </w:tblGrid>
      <w:tr>
        <w:tblPrEx>
          <w:tblCellMar>
            <w:top w:w="0" w:type="dxa"/>
            <w:left w:w="108" w:type="dxa"/>
            <w:bottom w:w="0" w:type="dxa"/>
            <w:right w:w="108" w:type="dxa"/>
          </w:tblCellMar>
        </w:tblPrEx>
        <w:trPr>
          <w:trHeight w:val="1112" w:hRule="atLeast"/>
        </w:trPr>
        <w:tc>
          <w:tcPr>
            <w:tcW w:w="1013" w:type="pc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乡镇</w:t>
            </w:r>
          </w:p>
        </w:tc>
        <w:tc>
          <w:tcPr>
            <w:tcW w:w="884" w:type="pc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耕地面积</w:t>
            </w:r>
          </w:p>
        </w:tc>
        <w:tc>
          <w:tcPr>
            <w:tcW w:w="940" w:type="pc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已建高标提质改造潜力</w:t>
            </w:r>
          </w:p>
        </w:tc>
        <w:tc>
          <w:tcPr>
            <w:tcW w:w="721" w:type="pc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绿色农田建设潜力</w:t>
            </w:r>
          </w:p>
        </w:tc>
        <w:tc>
          <w:tcPr>
            <w:tcW w:w="721" w:type="pc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宜机化改造潜力</w:t>
            </w:r>
          </w:p>
        </w:tc>
        <w:tc>
          <w:tcPr>
            <w:tcW w:w="721" w:type="pct"/>
            <w:tcBorders>
              <w:top w:val="single" w:color="auto" w:sz="8" w:space="0"/>
              <w:left w:val="single" w:color="auto" w:sz="8" w:space="0"/>
              <w:right w:val="single" w:color="auto" w:sz="8" w:space="0"/>
            </w:tcBorders>
          </w:tcPr>
          <w:p>
            <w:pPr>
              <w:widowControl/>
              <w:jc w:val="center"/>
              <w:rPr>
                <w:rFonts w:ascii="仿宋" w:hAnsi="仿宋" w:eastAsia="仿宋" w:cs="宋体"/>
                <w:bCs/>
                <w:color w:val="000000"/>
                <w:kern w:val="0"/>
                <w:sz w:val="22"/>
              </w:rPr>
            </w:pPr>
          </w:p>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高效节水灌溉潜力</w:t>
            </w:r>
          </w:p>
        </w:tc>
      </w:tr>
      <w:tr>
        <w:tblPrEx>
          <w:tblCellMar>
            <w:top w:w="0" w:type="dxa"/>
            <w:left w:w="108" w:type="dxa"/>
            <w:bottom w:w="0" w:type="dxa"/>
            <w:right w:w="108" w:type="dxa"/>
          </w:tblCellMar>
        </w:tblPrEx>
        <w:trPr>
          <w:trHeight w:val="300" w:hRule="atLeast"/>
        </w:trPr>
        <w:tc>
          <w:tcPr>
            <w:tcW w:w="101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安溪畲族乡</w:t>
            </w:r>
          </w:p>
        </w:tc>
        <w:tc>
          <w:tcPr>
            <w:tcW w:w="88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0.34 </w:t>
            </w:r>
          </w:p>
        </w:tc>
        <w:tc>
          <w:tcPr>
            <w:tcW w:w="94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0.10 </w:t>
            </w:r>
          </w:p>
        </w:tc>
        <w:tc>
          <w:tcPr>
            <w:tcW w:w="72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single" w:color="auto" w:sz="4" w:space="0"/>
              <w:left w:val="nil"/>
              <w:bottom w:val="single" w:color="auto" w:sz="4" w:space="0"/>
              <w:right w:val="single" w:color="auto" w:sz="4" w:space="0"/>
            </w:tcBorders>
          </w:tcPr>
          <w:p>
            <w:pPr>
              <w:widowControl/>
              <w:jc w:val="center"/>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300" w:hRule="atLeast"/>
        </w:trPr>
        <w:tc>
          <w:tcPr>
            <w:tcW w:w="101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白龙山街道</w:t>
            </w:r>
          </w:p>
        </w:tc>
        <w:tc>
          <w:tcPr>
            <w:tcW w:w="88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0.58 </w:t>
            </w:r>
          </w:p>
        </w:tc>
        <w:tc>
          <w:tcPr>
            <w:tcW w:w="94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0.04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tcPr>
          <w:p>
            <w:pPr>
              <w:widowControl/>
              <w:jc w:val="center"/>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300" w:hRule="atLeast"/>
        </w:trPr>
        <w:tc>
          <w:tcPr>
            <w:tcW w:w="101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赤石乡</w:t>
            </w:r>
          </w:p>
        </w:tc>
        <w:tc>
          <w:tcPr>
            <w:tcW w:w="88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0.63 </w:t>
            </w:r>
          </w:p>
        </w:tc>
        <w:tc>
          <w:tcPr>
            <w:tcW w:w="94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tcPr>
          <w:p>
            <w:pPr>
              <w:widowControl/>
              <w:jc w:val="center"/>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300" w:hRule="atLeast"/>
        </w:trPr>
        <w:tc>
          <w:tcPr>
            <w:tcW w:w="101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w:t>
            </w:r>
          </w:p>
        </w:tc>
        <w:tc>
          <w:tcPr>
            <w:tcW w:w="88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3.98 </w:t>
            </w:r>
          </w:p>
        </w:tc>
        <w:tc>
          <w:tcPr>
            <w:tcW w:w="94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0.23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0.11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0.12 </w:t>
            </w:r>
          </w:p>
        </w:tc>
        <w:tc>
          <w:tcPr>
            <w:tcW w:w="721" w:type="pct"/>
            <w:tcBorders>
              <w:top w:val="nil"/>
              <w:left w:val="nil"/>
              <w:bottom w:val="single" w:color="auto" w:sz="4" w:space="0"/>
              <w:right w:val="single" w:color="auto" w:sz="4" w:space="0"/>
            </w:tcBorders>
          </w:tcPr>
          <w:p>
            <w:pPr>
              <w:widowControl/>
              <w:jc w:val="center"/>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300" w:hRule="atLeast"/>
        </w:trPr>
        <w:tc>
          <w:tcPr>
            <w:tcW w:w="101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凤凰山街道</w:t>
            </w:r>
          </w:p>
        </w:tc>
        <w:tc>
          <w:tcPr>
            <w:tcW w:w="88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0.51 </w:t>
            </w:r>
          </w:p>
        </w:tc>
        <w:tc>
          <w:tcPr>
            <w:tcW w:w="94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0.07 </w:t>
            </w:r>
          </w:p>
        </w:tc>
        <w:tc>
          <w:tcPr>
            <w:tcW w:w="721" w:type="pct"/>
            <w:tcBorders>
              <w:top w:val="nil"/>
              <w:left w:val="nil"/>
              <w:bottom w:val="single" w:color="auto" w:sz="4" w:space="0"/>
              <w:right w:val="single" w:color="auto" w:sz="4" w:space="0"/>
            </w:tcBorders>
          </w:tcPr>
          <w:p>
            <w:pPr>
              <w:widowControl/>
              <w:jc w:val="center"/>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300" w:hRule="atLeast"/>
        </w:trPr>
        <w:tc>
          <w:tcPr>
            <w:tcW w:w="101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浮云街道</w:t>
            </w:r>
          </w:p>
        </w:tc>
        <w:tc>
          <w:tcPr>
            <w:tcW w:w="88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0.26 </w:t>
            </w:r>
          </w:p>
        </w:tc>
        <w:tc>
          <w:tcPr>
            <w:tcW w:w="94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tcPr>
          <w:p>
            <w:pPr>
              <w:widowControl/>
              <w:jc w:val="center"/>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300" w:hRule="atLeast"/>
        </w:trPr>
        <w:tc>
          <w:tcPr>
            <w:tcW w:w="101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紧水滩镇</w:t>
            </w:r>
          </w:p>
        </w:tc>
        <w:tc>
          <w:tcPr>
            <w:tcW w:w="88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1.10 </w:t>
            </w:r>
          </w:p>
        </w:tc>
        <w:tc>
          <w:tcPr>
            <w:tcW w:w="94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0.18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tcPr>
          <w:p>
            <w:pPr>
              <w:widowControl/>
              <w:jc w:val="center"/>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300" w:hRule="atLeast"/>
        </w:trPr>
        <w:tc>
          <w:tcPr>
            <w:tcW w:w="101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w:t>
            </w:r>
          </w:p>
        </w:tc>
        <w:tc>
          <w:tcPr>
            <w:tcW w:w="88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1.60 </w:t>
            </w:r>
          </w:p>
        </w:tc>
        <w:tc>
          <w:tcPr>
            <w:tcW w:w="94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0.11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0.10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0.01 </w:t>
            </w:r>
          </w:p>
        </w:tc>
        <w:tc>
          <w:tcPr>
            <w:tcW w:w="721" w:type="pct"/>
            <w:tcBorders>
              <w:top w:val="nil"/>
              <w:left w:val="nil"/>
              <w:bottom w:val="single" w:color="auto" w:sz="4" w:space="0"/>
              <w:right w:val="single" w:color="auto" w:sz="4" w:space="0"/>
            </w:tcBorders>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w:t>
            </w:r>
            <w:r>
              <w:rPr>
                <w:rFonts w:ascii="仿宋" w:hAnsi="仿宋" w:eastAsia="仿宋" w:cs="宋体"/>
                <w:bCs/>
                <w:color w:val="000000"/>
                <w:kern w:val="0"/>
                <w:sz w:val="22"/>
              </w:rPr>
              <w:t>.01</w:t>
            </w:r>
          </w:p>
        </w:tc>
      </w:tr>
      <w:tr>
        <w:tblPrEx>
          <w:tblCellMar>
            <w:top w:w="0" w:type="dxa"/>
            <w:left w:w="108" w:type="dxa"/>
            <w:bottom w:w="0" w:type="dxa"/>
            <w:right w:w="108" w:type="dxa"/>
          </w:tblCellMar>
        </w:tblPrEx>
        <w:trPr>
          <w:trHeight w:val="300" w:hRule="atLeast"/>
        </w:trPr>
        <w:tc>
          <w:tcPr>
            <w:tcW w:w="101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雾溪畲族乡</w:t>
            </w:r>
          </w:p>
        </w:tc>
        <w:tc>
          <w:tcPr>
            <w:tcW w:w="88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0.39 </w:t>
            </w:r>
          </w:p>
        </w:tc>
        <w:tc>
          <w:tcPr>
            <w:tcW w:w="94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tcPr>
          <w:p>
            <w:pPr>
              <w:widowControl/>
              <w:jc w:val="center"/>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300" w:hRule="atLeast"/>
        </w:trPr>
        <w:tc>
          <w:tcPr>
            <w:tcW w:w="101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元和街道</w:t>
            </w:r>
          </w:p>
        </w:tc>
        <w:tc>
          <w:tcPr>
            <w:tcW w:w="88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1.06 </w:t>
            </w:r>
          </w:p>
        </w:tc>
        <w:tc>
          <w:tcPr>
            <w:tcW w:w="94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0.06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721" w:type="pct"/>
            <w:tcBorders>
              <w:top w:val="nil"/>
              <w:left w:val="nil"/>
              <w:bottom w:val="single" w:color="auto" w:sz="4" w:space="0"/>
              <w:right w:val="single" w:color="auto" w:sz="4" w:space="0"/>
            </w:tcBorders>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w:t>
            </w:r>
            <w:r>
              <w:rPr>
                <w:rFonts w:ascii="仿宋" w:hAnsi="仿宋" w:eastAsia="仿宋" w:cs="宋体"/>
                <w:bCs/>
                <w:color w:val="000000"/>
                <w:kern w:val="0"/>
                <w:sz w:val="22"/>
              </w:rPr>
              <w:t>.03</w:t>
            </w:r>
          </w:p>
        </w:tc>
      </w:tr>
      <w:tr>
        <w:tblPrEx>
          <w:tblCellMar>
            <w:top w:w="0" w:type="dxa"/>
            <w:left w:w="108" w:type="dxa"/>
            <w:bottom w:w="0" w:type="dxa"/>
            <w:right w:w="108" w:type="dxa"/>
          </w:tblCellMar>
        </w:tblPrEx>
        <w:trPr>
          <w:trHeight w:val="300" w:hRule="atLeast"/>
        </w:trPr>
        <w:tc>
          <w:tcPr>
            <w:tcW w:w="1013"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884"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10.45 </w:t>
            </w:r>
          </w:p>
        </w:tc>
        <w:tc>
          <w:tcPr>
            <w:tcW w:w="94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0.73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0.21 </w:t>
            </w:r>
          </w:p>
        </w:tc>
        <w:tc>
          <w:tcPr>
            <w:tcW w:w="72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0.21 </w:t>
            </w:r>
          </w:p>
        </w:tc>
        <w:tc>
          <w:tcPr>
            <w:tcW w:w="721" w:type="pct"/>
            <w:tcBorders>
              <w:top w:val="nil"/>
              <w:left w:val="nil"/>
              <w:bottom w:val="single" w:color="auto" w:sz="4" w:space="0"/>
              <w:right w:val="single" w:color="auto" w:sz="4" w:space="0"/>
            </w:tcBorders>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w:t>
            </w:r>
            <w:r>
              <w:rPr>
                <w:rFonts w:ascii="仿宋" w:hAnsi="仿宋" w:eastAsia="仿宋" w:cs="宋体"/>
                <w:bCs/>
                <w:color w:val="000000"/>
                <w:kern w:val="0"/>
                <w:sz w:val="22"/>
              </w:rPr>
              <w:t>.04</w:t>
            </w:r>
          </w:p>
        </w:tc>
      </w:tr>
    </w:tbl>
    <w:p>
      <w:pPr>
        <w:ind w:firstLine="555"/>
        <w:rPr>
          <w:rFonts w:ascii="仿宋" w:hAnsi="仿宋" w:eastAsia="仿宋" w:cs="Times New Roman"/>
          <w:bCs/>
          <w:sz w:val="28"/>
          <w:szCs w:val="28"/>
        </w:rPr>
      </w:pPr>
      <w:r>
        <w:rPr>
          <w:rFonts w:hint="eastAsia" w:ascii="仿宋" w:hAnsi="仿宋" w:eastAsia="仿宋" w:cs="Times New Roman"/>
          <w:bCs/>
          <w:sz w:val="28"/>
          <w:szCs w:val="28"/>
        </w:rPr>
        <w:t>（一）提质改造潜力分析</w:t>
      </w:r>
    </w:p>
    <w:p>
      <w:pPr>
        <w:ind w:firstLine="555"/>
        <w:rPr>
          <w:rFonts w:ascii="仿宋" w:hAnsi="仿宋" w:eastAsia="仿宋" w:cs="Times New Roman"/>
          <w:bCs/>
          <w:sz w:val="28"/>
          <w:szCs w:val="28"/>
        </w:rPr>
      </w:pPr>
      <w:r>
        <w:rPr>
          <w:rFonts w:hint="eastAsia" w:ascii="仿宋" w:hAnsi="仿宋" w:eastAsia="仿宋" w:cs="Times New Roman"/>
          <w:bCs/>
          <w:sz w:val="28"/>
          <w:szCs w:val="28"/>
        </w:rPr>
        <w:t>浙江省高标准农田建设“十四五”规划提出云和县十四五期间已建高标准农田提质改造任务</w:t>
      </w:r>
      <w:r>
        <w:rPr>
          <w:rFonts w:ascii="仿宋" w:hAnsi="仿宋" w:eastAsia="仿宋" w:cs="Times New Roman"/>
          <w:bCs/>
          <w:sz w:val="28"/>
          <w:szCs w:val="28"/>
        </w:rPr>
        <w:t>0.40</w:t>
      </w:r>
      <w:r>
        <w:rPr>
          <w:rFonts w:hint="eastAsia" w:ascii="仿宋" w:hAnsi="仿宋" w:eastAsia="仿宋" w:cs="Times New Roman"/>
          <w:bCs/>
          <w:sz w:val="28"/>
          <w:szCs w:val="28"/>
        </w:rPr>
        <w:t>万亩，经分析云和县高标准农田理论提质改造理论潜力8.</w:t>
      </w:r>
      <w:r>
        <w:rPr>
          <w:rFonts w:ascii="仿宋" w:hAnsi="仿宋" w:eastAsia="仿宋" w:cs="Times New Roman"/>
          <w:bCs/>
          <w:sz w:val="28"/>
          <w:szCs w:val="28"/>
        </w:rPr>
        <w:t>12</w:t>
      </w:r>
      <w:r>
        <w:rPr>
          <w:rFonts w:hint="eastAsia" w:ascii="仿宋" w:hAnsi="仿宋" w:eastAsia="仿宋" w:cs="Times New Roman"/>
          <w:bCs/>
          <w:sz w:val="28"/>
          <w:szCs w:val="28"/>
        </w:rPr>
        <w:t>万亩，十四五期间提质改造可实现潜力0.</w:t>
      </w:r>
      <w:r>
        <w:rPr>
          <w:rFonts w:ascii="仿宋" w:hAnsi="仿宋" w:eastAsia="仿宋" w:cs="Times New Roman"/>
          <w:bCs/>
          <w:sz w:val="28"/>
          <w:szCs w:val="28"/>
        </w:rPr>
        <w:t>73</w:t>
      </w:r>
      <w:r>
        <w:rPr>
          <w:rFonts w:hint="eastAsia" w:ascii="仿宋" w:hAnsi="仿宋" w:eastAsia="仿宋" w:cs="Times New Roman"/>
          <w:bCs/>
          <w:sz w:val="28"/>
          <w:szCs w:val="28"/>
        </w:rPr>
        <w:t>万亩。</w:t>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表</w:t>
      </w:r>
      <w:r>
        <w:rPr>
          <w:rFonts w:ascii="仿宋" w:hAnsi="仿宋" w:eastAsia="仿宋" w:cs="Times New Roman"/>
          <w:bCs/>
          <w:sz w:val="24"/>
          <w:szCs w:val="28"/>
        </w:rPr>
        <w:t>3-2</w:t>
      </w:r>
      <w:r>
        <w:rPr>
          <w:rFonts w:hint="eastAsia" w:ascii="仿宋" w:hAnsi="仿宋" w:eastAsia="仿宋" w:cs="Times New Roman"/>
          <w:bCs/>
          <w:sz w:val="24"/>
          <w:szCs w:val="28"/>
        </w:rPr>
        <w:t>云和县高标准农田建设“十四五”规划提质改造可实现潜力分析表</w:t>
      </w:r>
    </w:p>
    <w:p>
      <w:pPr>
        <w:ind w:firstLine="555"/>
        <w:jc w:val="right"/>
        <w:rPr>
          <w:rFonts w:ascii="仿宋" w:hAnsi="仿宋" w:eastAsia="仿宋" w:cs="Times New Roman"/>
          <w:bCs/>
          <w:sz w:val="24"/>
          <w:szCs w:val="28"/>
        </w:rPr>
      </w:pPr>
      <w:r>
        <w:rPr>
          <w:rFonts w:hint="eastAsia" w:ascii="仿宋" w:hAnsi="仿宋" w:eastAsia="仿宋" w:cs="Times New Roman"/>
          <w:bCs/>
          <w:sz w:val="24"/>
          <w:szCs w:val="28"/>
        </w:rPr>
        <w:t>单位：亩</w:t>
      </w:r>
    </w:p>
    <w:tbl>
      <w:tblPr>
        <w:tblStyle w:val="8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1096"/>
        <w:gridCol w:w="1018"/>
        <w:gridCol w:w="1018"/>
        <w:gridCol w:w="1018"/>
        <w:gridCol w:w="1018"/>
        <w:gridCol w:w="1019"/>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50" w:type="pct"/>
            <w:gridSpan w:val="2"/>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行政区</w:t>
            </w:r>
          </w:p>
        </w:tc>
        <w:tc>
          <w:tcPr>
            <w:tcW w:w="3125" w:type="pct"/>
            <w:gridSpan w:val="5"/>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计划实施年份</w:t>
            </w:r>
          </w:p>
        </w:tc>
        <w:tc>
          <w:tcPr>
            <w:tcW w:w="625"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50" w:type="pct"/>
            <w:gridSpan w:val="2"/>
            <w:vMerge w:val="continue"/>
            <w:vAlign w:val="center"/>
          </w:tcPr>
          <w:p>
            <w:pPr>
              <w:widowControl/>
              <w:jc w:val="left"/>
              <w:rPr>
                <w:rFonts w:ascii="仿宋" w:hAnsi="仿宋" w:eastAsia="仿宋" w:cs="宋体"/>
                <w:bCs/>
                <w:color w:val="000000"/>
                <w:kern w:val="0"/>
                <w:sz w:val="22"/>
              </w:rPr>
            </w:pP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2021</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2022</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2023</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2024</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2025</w:t>
            </w:r>
          </w:p>
        </w:tc>
        <w:tc>
          <w:tcPr>
            <w:tcW w:w="625" w:type="pct"/>
            <w:vMerge w:val="continue"/>
            <w:vAlign w:val="center"/>
          </w:tcPr>
          <w:p>
            <w:pPr>
              <w:widowControl/>
              <w:jc w:val="left"/>
              <w:rPr>
                <w:rFonts w:ascii="仿宋" w:hAnsi="仿宋" w:eastAsia="仿宋" w:cs="宋体"/>
                <w:bCs/>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安溪畲族乡</w:t>
            </w: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安溪村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1003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白龙山街道</w:t>
            </w: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高胥村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158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continue"/>
            <w:vAlign w:val="center"/>
          </w:tcPr>
          <w:p>
            <w:pPr>
              <w:widowControl/>
              <w:jc w:val="left"/>
              <w:rPr>
                <w:rFonts w:ascii="仿宋" w:hAnsi="仿宋" w:eastAsia="仿宋" w:cs="宋体"/>
                <w:bCs/>
                <w:color w:val="000000"/>
                <w:kern w:val="0"/>
                <w:sz w:val="22"/>
              </w:rPr>
            </w:pP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泓新村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253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w:t>
            </w: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大湾村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1666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1666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continue"/>
            <w:vAlign w:val="center"/>
          </w:tcPr>
          <w:p>
            <w:pPr>
              <w:widowControl/>
              <w:jc w:val="left"/>
              <w:rPr>
                <w:rFonts w:ascii="仿宋" w:hAnsi="仿宋" w:eastAsia="仿宋" w:cs="宋体"/>
                <w:bCs/>
                <w:color w:val="000000"/>
                <w:kern w:val="0"/>
                <w:sz w:val="22"/>
              </w:rPr>
            </w:pP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后垟村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239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continue"/>
            <w:vAlign w:val="center"/>
          </w:tcPr>
          <w:p>
            <w:pPr>
              <w:widowControl/>
              <w:jc w:val="left"/>
              <w:rPr>
                <w:rFonts w:ascii="仿宋" w:hAnsi="仿宋" w:eastAsia="仿宋" w:cs="宋体"/>
                <w:bCs/>
                <w:color w:val="000000"/>
                <w:kern w:val="0"/>
                <w:sz w:val="22"/>
              </w:rPr>
            </w:pP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栗溪村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180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continue"/>
            <w:vAlign w:val="center"/>
          </w:tcPr>
          <w:p>
            <w:pPr>
              <w:widowControl/>
              <w:jc w:val="left"/>
              <w:rPr>
                <w:rFonts w:ascii="仿宋" w:hAnsi="仿宋" w:eastAsia="仿宋" w:cs="宋体"/>
                <w:bCs/>
                <w:color w:val="000000"/>
                <w:kern w:val="0"/>
                <w:sz w:val="22"/>
              </w:rPr>
            </w:pP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梅源村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154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continue"/>
            <w:vAlign w:val="center"/>
          </w:tcPr>
          <w:p>
            <w:pPr>
              <w:widowControl/>
              <w:jc w:val="left"/>
              <w:rPr>
                <w:rFonts w:ascii="仿宋" w:hAnsi="仿宋" w:eastAsia="仿宋" w:cs="宋体"/>
                <w:bCs/>
                <w:color w:val="000000"/>
                <w:kern w:val="0"/>
                <w:sz w:val="22"/>
              </w:rPr>
            </w:pP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王荫山村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81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紧水滩镇</w:t>
            </w: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大源村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344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continue"/>
            <w:vAlign w:val="center"/>
          </w:tcPr>
          <w:p>
            <w:pPr>
              <w:widowControl/>
              <w:jc w:val="left"/>
              <w:rPr>
                <w:rFonts w:ascii="仿宋" w:hAnsi="仿宋" w:eastAsia="仿宋" w:cs="宋体"/>
                <w:bCs/>
                <w:color w:val="000000"/>
                <w:kern w:val="0"/>
                <w:sz w:val="22"/>
              </w:rPr>
            </w:pP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金水坑村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237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continue"/>
            <w:vAlign w:val="center"/>
          </w:tcPr>
          <w:p>
            <w:pPr>
              <w:widowControl/>
              <w:jc w:val="left"/>
              <w:rPr>
                <w:rFonts w:ascii="仿宋" w:hAnsi="仿宋" w:eastAsia="仿宋" w:cs="宋体"/>
                <w:bCs/>
                <w:color w:val="000000"/>
                <w:kern w:val="0"/>
                <w:sz w:val="22"/>
              </w:rPr>
            </w:pP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龙门村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540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continue"/>
            <w:vAlign w:val="center"/>
          </w:tcPr>
          <w:p>
            <w:pPr>
              <w:widowControl/>
              <w:jc w:val="left"/>
              <w:rPr>
                <w:rFonts w:ascii="仿宋" w:hAnsi="仿宋" w:eastAsia="仿宋" w:cs="宋体"/>
                <w:bCs/>
                <w:color w:val="000000"/>
                <w:kern w:val="0"/>
                <w:sz w:val="22"/>
              </w:rPr>
            </w:pP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石浦村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640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w:t>
            </w: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联合村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412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continue"/>
            <w:vAlign w:val="center"/>
          </w:tcPr>
          <w:p>
            <w:pPr>
              <w:widowControl/>
              <w:jc w:val="left"/>
              <w:rPr>
                <w:rFonts w:ascii="仿宋" w:hAnsi="仿宋" w:eastAsia="仿宋" w:cs="宋体"/>
                <w:bCs/>
                <w:color w:val="000000"/>
                <w:kern w:val="0"/>
                <w:sz w:val="22"/>
              </w:rPr>
            </w:pP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龙河村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688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vMerge w:val="continue"/>
            <w:vAlign w:val="center"/>
          </w:tcPr>
          <w:p>
            <w:pPr>
              <w:widowControl/>
              <w:jc w:val="left"/>
              <w:rPr>
                <w:rFonts w:ascii="仿宋" w:hAnsi="仿宋" w:eastAsia="仿宋" w:cs="宋体"/>
                <w:bCs/>
                <w:color w:val="000000"/>
                <w:kern w:val="0"/>
                <w:sz w:val="22"/>
              </w:rPr>
            </w:pP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朱村村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43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92"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元和街道</w:t>
            </w:r>
          </w:p>
        </w:tc>
        <w:tc>
          <w:tcPr>
            <w:tcW w:w="55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梅湾村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620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50" w:type="pct"/>
            <w:gridSpan w:val="2"/>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344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1734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2000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2037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1143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7259 </w:t>
            </w:r>
          </w:p>
        </w:tc>
      </w:tr>
    </w:tbl>
    <w:p>
      <w:pPr>
        <w:ind w:firstLine="555"/>
        <w:rPr>
          <w:rFonts w:ascii="仿宋" w:hAnsi="仿宋" w:eastAsia="仿宋" w:cs="Times New Roman"/>
          <w:bCs/>
          <w:sz w:val="28"/>
          <w:szCs w:val="28"/>
        </w:rPr>
      </w:pPr>
      <w:r>
        <w:rPr>
          <w:rFonts w:hint="eastAsia" w:ascii="仿宋" w:hAnsi="仿宋" w:eastAsia="仿宋" w:cs="Times New Roman"/>
          <w:bCs/>
          <w:sz w:val="28"/>
          <w:szCs w:val="28"/>
        </w:rPr>
        <w:t>（二）绿色农田潜力</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崇头镇具有较好的立地条件，地处山谷，耕地连片。十四五期间结合崇头镇当地特色，推行土壤改良、生态沟渠和田间道路等工程措施，计划打造高标准绿色农田0.</w:t>
      </w:r>
      <w:r>
        <w:rPr>
          <w:rFonts w:ascii="仿宋" w:hAnsi="仿宋" w:eastAsia="仿宋" w:cs="Times New Roman"/>
          <w:bCs/>
          <w:sz w:val="28"/>
          <w:szCs w:val="28"/>
        </w:rPr>
        <w:t>21</w:t>
      </w:r>
      <w:r>
        <w:rPr>
          <w:rFonts w:hint="eastAsia" w:ascii="仿宋" w:hAnsi="仿宋" w:eastAsia="仿宋" w:cs="Times New Roman"/>
          <w:bCs/>
          <w:sz w:val="28"/>
          <w:szCs w:val="28"/>
        </w:rPr>
        <w:t>万亩。</w:t>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表</w:t>
      </w:r>
      <w:r>
        <w:rPr>
          <w:rFonts w:ascii="仿宋" w:hAnsi="仿宋" w:eastAsia="仿宋" w:cs="Times New Roman"/>
          <w:bCs/>
          <w:sz w:val="24"/>
          <w:szCs w:val="28"/>
        </w:rPr>
        <w:t>3-3</w:t>
      </w:r>
      <w:r>
        <w:rPr>
          <w:rFonts w:hint="eastAsia" w:ascii="仿宋" w:hAnsi="仿宋" w:eastAsia="仿宋" w:cs="Times New Roman"/>
          <w:bCs/>
          <w:sz w:val="24"/>
          <w:szCs w:val="28"/>
        </w:rPr>
        <w:t>云和县高标准农田建设“十四五”规划绿色农田可实现潜力分析表</w:t>
      </w:r>
    </w:p>
    <w:p>
      <w:pPr>
        <w:ind w:firstLine="555"/>
        <w:jc w:val="right"/>
        <w:rPr>
          <w:rFonts w:ascii="仿宋" w:hAnsi="仿宋" w:eastAsia="仿宋" w:cs="Times New Roman"/>
          <w:bCs/>
          <w:sz w:val="24"/>
          <w:szCs w:val="28"/>
        </w:rPr>
      </w:pPr>
      <w:r>
        <w:rPr>
          <w:rFonts w:hint="eastAsia" w:ascii="仿宋" w:hAnsi="仿宋" w:eastAsia="仿宋" w:cs="Times New Roman"/>
          <w:bCs/>
          <w:sz w:val="24"/>
          <w:szCs w:val="28"/>
        </w:rPr>
        <w:t>单位：亩</w:t>
      </w:r>
    </w:p>
    <w:tbl>
      <w:tblPr>
        <w:tblStyle w:val="85"/>
        <w:tblW w:w="5000" w:type="pct"/>
        <w:tblInd w:w="0" w:type="dxa"/>
        <w:tblLayout w:type="autofit"/>
        <w:tblCellMar>
          <w:top w:w="0" w:type="dxa"/>
          <w:left w:w="108" w:type="dxa"/>
          <w:bottom w:w="0" w:type="dxa"/>
          <w:right w:w="108" w:type="dxa"/>
        </w:tblCellMar>
      </w:tblPr>
      <w:tblGrid>
        <w:gridCol w:w="1669"/>
        <w:gridCol w:w="1670"/>
        <w:gridCol w:w="2093"/>
        <w:gridCol w:w="2095"/>
        <w:gridCol w:w="995"/>
      </w:tblGrid>
      <w:tr>
        <w:tblPrEx>
          <w:tblCellMar>
            <w:top w:w="0" w:type="dxa"/>
            <w:left w:w="108" w:type="dxa"/>
            <w:bottom w:w="0" w:type="dxa"/>
            <w:right w:w="108" w:type="dxa"/>
          </w:tblCellMar>
        </w:tblPrEx>
        <w:trPr>
          <w:trHeight w:val="285" w:hRule="atLeast"/>
        </w:trPr>
        <w:tc>
          <w:tcPr>
            <w:tcW w:w="1959"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行政区</w:t>
            </w:r>
          </w:p>
        </w:tc>
        <w:tc>
          <w:tcPr>
            <w:tcW w:w="245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实施年份</w:t>
            </w:r>
          </w:p>
        </w:tc>
        <w:tc>
          <w:tcPr>
            <w:tcW w:w="58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合计</w:t>
            </w:r>
          </w:p>
        </w:tc>
      </w:tr>
      <w:tr>
        <w:tblPrEx>
          <w:tblCellMar>
            <w:top w:w="0" w:type="dxa"/>
            <w:left w:w="108" w:type="dxa"/>
            <w:bottom w:w="0" w:type="dxa"/>
            <w:right w:w="108" w:type="dxa"/>
          </w:tblCellMar>
        </w:tblPrEx>
        <w:trPr>
          <w:trHeight w:val="285" w:hRule="atLeast"/>
        </w:trPr>
        <w:tc>
          <w:tcPr>
            <w:tcW w:w="1959"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Cs/>
                <w:color w:val="000000"/>
                <w:kern w:val="0"/>
                <w:sz w:val="22"/>
              </w:rPr>
            </w:pPr>
          </w:p>
        </w:tc>
        <w:tc>
          <w:tcPr>
            <w:tcW w:w="122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2024</w:t>
            </w:r>
          </w:p>
        </w:tc>
        <w:tc>
          <w:tcPr>
            <w:tcW w:w="1229"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2025</w:t>
            </w:r>
          </w:p>
        </w:tc>
        <w:tc>
          <w:tcPr>
            <w:tcW w:w="58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285" w:hRule="atLeast"/>
        </w:trPr>
        <w:tc>
          <w:tcPr>
            <w:tcW w:w="979"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w:t>
            </w:r>
          </w:p>
        </w:tc>
        <w:tc>
          <w:tcPr>
            <w:tcW w:w="98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梅源村</w:t>
            </w:r>
          </w:p>
        </w:tc>
        <w:tc>
          <w:tcPr>
            <w:tcW w:w="122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1083 </w:t>
            </w:r>
          </w:p>
        </w:tc>
        <w:tc>
          <w:tcPr>
            <w:tcW w:w="1229"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58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1083 </w:t>
            </w:r>
          </w:p>
        </w:tc>
      </w:tr>
      <w:tr>
        <w:trPr>
          <w:trHeight w:val="285" w:hRule="atLeast"/>
        </w:trPr>
        <w:tc>
          <w:tcPr>
            <w:tcW w:w="979"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w:t>
            </w:r>
          </w:p>
        </w:tc>
        <w:tc>
          <w:tcPr>
            <w:tcW w:w="980"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规溪村</w:t>
            </w:r>
          </w:p>
        </w:tc>
        <w:tc>
          <w:tcPr>
            <w:tcW w:w="122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1229"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980 </w:t>
            </w:r>
          </w:p>
        </w:tc>
        <w:tc>
          <w:tcPr>
            <w:tcW w:w="58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980 </w:t>
            </w:r>
          </w:p>
        </w:tc>
      </w:tr>
      <w:tr>
        <w:tblPrEx>
          <w:tblCellMar>
            <w:top w:w="0" w:type="dxa"/>
            <w:left w:w="108" w:type="dxa"/>
            <w:bottom w:w="0" w:type="dxa"/>
            <w:right w:w="108" w:type="dxa"/>
          </w:tblCellMar>
        </w:tblPrEx>
        <w:trPr>
          <w:trHeight w:val="285" w:hRule="atLeast"/>
        </w:trPr>
        <w:tc>
          <w:tcPr>
            <w:tcW w:w="1959"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1228"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1083 </w:t>
            </w:r>
          </w:p>
        </w:tc>
        <w:tc>
          <w:tcPr>
            <w:tcW w:w="1229"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980 </w:t>
            </w:r>
          </w:p>
        </w:tc>
        <w:tc>
          <w:tcPr>
            <w:tcW w:w="584"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2063 </w:t>
            </w:r>
          </w:p>
        </w:tc>
      </w:tr>
    </w:tbl>
    <w:p>
      <w:pPr>
        <w:jc w:val="left"/>
        <w:rPr>
          <w:rFonts w:ascii="仿宋" w:hAnsi="仿宋" w:eastAsia="仿宋" w:cs="Times New Roman"/>
          <w:bCs/>
          <w:sz w:val="28"/>
          <w:szCs w:val="28"/>
        </w:rPr>
      </w:pPr>
      <w:r>
        <w:rPr>
          <w:bCs/>
        </w:rPr>
        <w:drawing>
          <wp:inline distT="0" distB="0" distL="0" distR="0">
            <wp:extent cx="5274310" cy="2424430"/>
            <wp:effectExtent l="0" t="0" r="254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19">
                      <a:extLst>
                        <a:ext uri="{28A0092B-C50C-407E-A947-70E740481C1C}">
                          <a14:useLocalDpi xmlns:a14="http://schemas.microsoft.com/office/drawing/2010/main" val="false"/>
                        </a:ext>
                      </a:extLst>
                    </a:blip>
                    <a:srcRect t="8063"/>
                    <a:stretch>
                      <a:fillRect/>
                    </a:stretch>
                  </pic:blipFill>
                  <pic:spPr>
                    <a:xfrm>
                      <a:off x="0" y="0"/>
                      <a:ext cx="5274310" cy="2424504"/>
                    </a:xfrm>
                    <a:prstGeom prst="rect">
                      <a:avLst/>
                    </a:prstGeom>
                    <a:noFill/>
                    <a:ln>
                      <a:noFill/>
                    </a:ln>
                  </pic:spPr>
                </pic:pic>
              </a:graphicData>
            </a:graphic>
          </wp:inline>
        </w:drawing>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图</w:t>
      </w:r>
      <w:r>
        <w:rPr>
          <w:rFonts w:ascii="仿宋" w:hAnsi="仿宋" w:eastAsia="仿宋" w:cs="Times New Roman"/>
          <w:bCs/>
          <w:sz w:val="24"/>
          <w:szCs w:val="28"/>
        </w:rPr>
        <w:t>3-1</w:t>
      </w:r>
      <w:r>
        <w:rPr>
          <w:rFonts w:hint="eastAsia" w:ascii="仿宋" w:hAnsi="仿宋" w:eastAsia="仿宋" w:cs="Times New Roman"/>
          <w:bCs/>
          <w:sz w:val="24"/>
          <w:szCs w:val="28"/>
        </w:rPr>
        <w:t>绿色农田意向图</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（三）宜机化改造潜力</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十四五期间，计划开展宜机化改造0.</w:t>
      </w:r>
      <w:r>
        <w:rPr>
          <w:rFonts w:ascii="仿宋" w:hAnsi="仿宋" w:eastAsia="仿宋" w:cs="Times New Roman"/>
          <w:bCs/>
          <w:sz w:val="28"/>
          <w:szCs w:val="28"/>
        </w:rPr>
        <w:t>21</w:t>
      </w:r>
      <w:r>
        <w:rPr>
          <w:rFonts w:hint="eastAsia" w:ascii="仿宋" w:hAnsi="仿宋" w:eastAsia="仿宋" w:cs="Times New Roman"/>
          <w:bCs/>
          <w:sz w:val="28"/>
          <w:szCs w:val="28"/>
        </w:rPr>
        <w:t>万亩。推动改善农田农机通行和作业条件，提高农机适应性，扩展农机运用空间，加快补齐丘陵山区农业机械化基础条件薄弱的短板</w:t>
      </w:r>
      <w:r>
        <w:rPr>
          <w:rFonts w:ascii="仿宋" w:hAnsi="仿宋" w:eastAsia="仿宋" w:cs="Times New Roman"/>
          <w:bCs/>
          <w:sz w:val="28"/>
          <w:szCs w:val="28"/>
        </w:rPr>
        <w:t>。</w:t>
      </w:r>
    </w:p>
    <w:p>
      <w:pPr>
        <w:ind w:firstLine="560" w:firstLineChars="200"/>
        <w:rPr>
          <w:rFonts w:ascii="仿宋" w:hAnsi="仿宋" w:eastAsia="仿宋" w:cs="Times New Roman"/>
          <w:bCs/>
          <w:sz w:val="28"/>
          <w:szCs w:val="28"/>
        </w:rPr>
      </w:pPr>
    </w:p>
    <w:p>
      <w:pPr>
        <w:jc w:val="center"/>
        <w:rPr>
          <w:rFonts w:ascii="仿宋" w:hAnsi="仿宋" w:eastAsia="仿宋" w:cs="Times New Roman"/>
          <w:bCs/>
          <w:sz w:val="24"/>
          <w:szCs w:val="28"/>
        </w:rPr>
      </w:pPr>
      <w:r>
        <w:rPr>
          <w:rFonts w:hint="eastAsia" w:ascii="仿宋" w:hAnsi="仿宋" w:eastAsia="仿宋" w:cs="Times New Roman"/>
          <w:bCs/>
          <w:sz w:val="24"/>
          <w:szCs w:val="28"/>
        </w:rPr>
        <w:t>表</w:t>
      </w:r>
      <w:r>
        <w:rPr>
          <w:rFonts w:ascii="仿宋" w:hAnsi="仿宋" w:eastAsia="仿宋" w:cs="Times New Roman"/>
          <w:bCs/>
          <w:sz w:val="24"/>
          <w:szCs w:val="28"/>
        </w:rPr>
        <w:t>3-4</w:t>
      </w:r>
      <w:r>
        <w:rPr>
          <w:rFonts w:hint="eastAsia" w:ascii="仿宋" w:hAnsi="仿宋" w:eastAsia="仿宋" w:cs="Times New Roman"/>
          <w:bCs/>
          <w:sz w:val="24"/>
          <w:szCs w:val="28"/>
        </w:rPr>
        <w:t>云和县高标准农田建设“十四五”规划宜机化改造可实现潜力分析表</w:t>
      </w:r>
    </w:p>
    <w:p>
      <w:pPr>
        <w:ind w:left="1440"/>
        <w:jc w:val="right"/>
        <w:rPr>
          <w:rFonts w:ascii="仿宋" w:hAnsi="仿宋" w:eastAsia="仿宋" w:cs="Times New Roman"/>
          <w:bCs/>
          <w:sz w:val="24"/>
          <w:szCs w:val="28"/>
        </w:rPr>
      </w:pPr>
      <w:r>
        <w:rPr>
          <w:rFonts w:hint="eastAsia" w:ascii="仿宋" w:hAnsi="仿宋" w:eastAsia="仿宋" w:cs="Times New Roman"/>
          <w:bCs/>
          <w:sz w:val="24"/>
          <w:szCs w:val="28"/>
        </w:rPr>
        <w:t>单位：亩</w:t>
      </w:r>
    </w:p>
    <w:tbl>
      <w:tblPr>
        <w:tblStyle w:val="8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9"/>
        <w:gridCol w:w="1055"/>
        <w:gridCol w:w="1147"/>
        <w:gridCol w:w="1147"/>
        <w:gridCol w:w="1147"/>
        <w:gridCol w:w="1149"/>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33" w:type="pct"/>
            <w:gridSpan w:val="2"/>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行政区</w:t>
            </w:r>
          </w:p>
        </w:tc>
        <w:tc>
          <w:tcPr>
            <w:tcW w:w="2693" w:type="pct"/>
            <w:gridSpan w:val="4"/>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近期实施年份</w:t>
            </w:r>
          </w:p>
        </w:tc>
        <w:tc>
          <w:tcPr>
            <w:tcW w:w="673"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33" w:type="pct"/>
            <w:gridSpan w:val="2"/>
            <w:vMerge w:val="continue"/>
            <w:vAlign w:val="center"/>
          </w:tcPr>
          <w:p>
            <w:pPr>
              <w:widowControl/>
              <w:jc w:val="left"/>
              <w:rPr>
                <w:rFonts w:ascii="仿宋" w:hAnsi="仿宋" w:eastAsia="仿宋" w:cs="宋体"/>
                <w:bCs/>
                <w:color w:val="000000"/>
                <w:kern w:val="0"/>
                <w:sz w:val="22"/>
              </w:rPr>
            </w:pP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2022</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2023</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2024</w:t>
            </w:r>
          </w:p>
        </w:tc>
        <w:tc>
          <w:tcPr>
            <w:tcW w:w="6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2025</w:t>
            </w:r>
          </w:p>
        </w:tc>
        <w:tc>
          <w:tcPr>
            <w:tcW w:w="673" w:type="pct"/>
            <w:vMerge w:val="continue"/>
            <w:vAlign w:val="center"/>
          </w:tcPr>
          <w:p>
            <w:pPr>
              <w:widowControl/>
              <w:jc w:val="left"/>
              <w:rPr>
                <w:rFonts w:ascii="仿宋" w:hAnsi="仿宋" w:eastAsia="仿宋" w:cs="宋体"/>
                <w:bCs/>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4"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w:t>
            </w:r>
          </w:p>
        </w:tc>
        <w:tc>
          <w:tcPr>
            <w:tcW w:w="61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崇头村</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717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4" w:type="pct"/>
            <w:vMerge w:val="continue"/>
            <w:vAlign w:val="center"/>
          </w:tcPr>
          <w:p>
            <w:pPr>
              <w:widowControl/>
              <w:jc w:val="left"/>
              <w:rPr>
                <w:rFonts w:ascii="仿宋" w:hAnsi="仿宋" w:eastAsia="仿宋" w:cs="宋体"/>
                <w:bCs/>
                <w:color w:val="000000"/>
                <w:kern w:val="0"/>
                <w:sz w:val="22"/>
              </w:rPr>
            </w:pPr>
          </w:p>
        </w:tc>
        <w:tc>
          <w:tcPr>
            <w:tcW w:w="61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梅源村</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477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凤凰山街道</w:t>
            </w:r>
          </w:p>
        </w:tc>
        <w:tc>
          <w:tcPr>
            <w:tcW w:w="61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贵溪村</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735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w:t>
            </w:r>
          </w:p>
        </w:tc>
        <w:tc>
          <w:tcPr>
            <w:tcW w:w="61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规溪村</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1</w:t>
            </w:r>
            <w:r>
              <w:rPr>
                <w:rFonts w:ascii="仿宋" w:hAnsi="仿宋" w:eastAsia="仿宋" w:cs="宋体"/>
                <w:bCs/>
                <w:color w:val="000000"/>
                <w:kern w:val="0"/>
                <w:sz w:val="22"/>
              </w:rPr>
              <w:t>50</w:t>
            </w:r>
            <w:r>
              <w:rPr>
                <w:rFonts w:hint="eastAsia" w:ascii="仿宋" w:hAnsi="仿宋" w:eastAsia="仿宋" w:cs="宋体"/>
                <w:bCs/>
                <w:color w:val="000000"/>
                <w:kern w:val="0"/>
                <w:sz w:val="22"/>
              </w:rPr>
              <w:t xml:space="preserve"> </w:t>
            </w:r>
          </w:p>
        </w:tc>
        <w:tc>
          <w:tcPr>
            <w:tcW w:w="6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1</w:t>
            </w:r>
            <w:r>
              <w:rPr>
                <w:rFonts w:ascii="仿宋" w:hAnsi="仿宋" w:eastAsia="仿宋" w:cs="宋体"/>
                <w:bCs/>
                <w:color w:val="000000"/>
                <w:kern w:val="0"/>
                <w:sz w:val="22"/>
              </w:rPr>
              <w:t>50</w:t>
            </w:r>
            <w:r>
              <w:rPr>
                <w:rFonts w:hint="eastAsia" w:ascii="仿宋" w:hAnsi="仿宋" w:eastAsia="仿宋" w:cs="宋体"/>
                <w:bCs/>
                <w:color w:val="000000"/>
                <w:kern w:val="0"/>
                <w:sz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33" w:type="pct"/>
            <w:gridSpan w:val="2"/>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735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717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1</w:t>
            </w:r>
            <w:r>
              <w:rPr>
                <w:rFonts w:ascii="仿宋" w:hAnsi="仿宋" w:eastAsia="仿宋" w:cs="宋体"/>
                <w:bCs/>
                <w:color w:val="000000"/>
                <w:kern w:val="0"/>
                <w:sz w:val="22"/>
              </w:rPr>
              <w:t>50</w:t>
            </w:r>
          </w:p>
        </w:tc>
        <w:tc>
          <w:tcPr>
            <w:tcW w:w="6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477 </w:t>
            </w:r>
          </w:p>
        </w:tc>
        <w:tc>
          <w:tcPr>
            <w:tcW w:w="673"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207</w:t>
            </w:r>
            <w:r>
              <w:rPr>
                <w:rFonts w:ascii="仿宋" w:hAnsi="仿宋" w:eastAsia="仿宋" w:cs="宋体"/>
                <w:bCs/>
                <w:color w:val="000000"/>
                <w:kern w:val="0"/>
                <w:sz w:val="22"/>
              </w:rPr>
              <w:t>8</w:t>
            </w:r>
          </w:p>
        </w:tc>
      </w:tr>
    </w:tbl>
    <w:p>
      <w:pPr>
        <w:kinsoku w:val="0"/>
        <w:overflowPunct w:val="0"/>
        <w:autoSpaceDE w:val="0"/>
        <w:autoSpaceDN w:val="0"/>
        <w:adjustRightInd w:val="0"/>
        <w:jc w:val="left"/>
        <w:rPr>
          <w:rFonts w:ascii="仿宋" w:hAnsi="仿宋" w:eastAsia="仿宋" w:cs="仿宋"/>
          <w:bCs/>
          <w:kern w:val="0"/>
          <w:sz w:val="20"/>
          <w:szCs w:val="20"/>
        </w:rPr>
      </w:pPr>
      <w:r>
        <w:rPr>
          <w:rFonts w:ascii="仿宋" w:hAnsi="仿宋" w:eastAsia="仿宋"/>
          <w:bCs/>
        </w:rPr>
        <w:drawing>
          <wp:inline distT="0" distB="0" distL="0" distR="0">
            <wp:extent cx="5253990" cy="2709545"/>
            <wp:effectExtent l="0" t="0" r="381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5301925" cy="2734748"/>
                    </a:xfrm>
                    <a:prstGeom prst="rect">
                      <a:avLst/>
                    </a:prstGeom>
                    <a:noFill/>
                    <a:ln>
                      <a:noFill/>
                    </a:ln>
                  </pic:spPr>
                </pic:pic>
              </a:graphicData>
            </a:graphic>
          </wp:inline>
        </w:drawing>
      </w:r>
    </w:p>
    <w:p>
      <w:pPr>
        <w:kinsoku w:val="0"/>
        <w:overflowPunct w:val="0"/>
        <w:autoSpaceDE w:val="0"/>
        <w:autoSpaceDN w:val="0"/>
        <w:adjustRightInd w:val="0"/>
        <w:spacing w:before="62"/>
        <w:jc w:val="center"/>
        <w:rPr>
          <w:rFonts w:ascii="仿宋" w:hAnsi="仿宋" w:eastAsia="仿宋" w:cs="仿宋"/>
          <w:bCs/>
          <w:kern w:val="0"/>
          <w:sz w:val="24"/>
          <w:szCs w:val="24"/>
        </w:rPr>
      </w:pPr>
      <w:r>
        <w:rPr>
          <w:rFonts w:hint="eastAsia" w:ascii="仿宋" w:hAnsi="仿宋" w:eastAsia="仿宋" w:cs="仿宋"/>
          <w:bCs/>
          <w:kern w:val="0"/>
          <w:sz w:val="24"/>
          <w:szCs w:val="24"/>
        </w:rPr>
        <w:t>图</w:t>
      </w:r>
      <w:r>
        <w:rPr>
          <w:rFonts w:ascii="仿宋" w:hAnsi="仿宋" w:eastAsia="仿宋" w:cs="仿宋"/>
          <w:bCs/>
          <w:kern w:val="0"/>
          <w:sz w:val="24"/>
          <w:szCs w:val="24"/>
        </w:rPr>
        <w:t>3-2</w:t>
      </w:r>
      <w:r>
        <w:rPr>
          <w:rFonts w:hint="eastAsia" w:ascii="仿宋" w:hAnsi="仿宋" w:eastAsia="仿宋" w:cs="仿宋"/>
          <w:bCs/>
          <w:kern w:val="0"/>
          <w:sz w:val="24"/>
          <w:szCs w:val="24"/>
        </w:rPr>
        <w:t>宜机化改造意向图</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（四）高效节水灌溉</w:t>
      </w:r>
    </w:p>
    <w:p>
      <w:pPr>
        <w:ind w:firstLine="555"/>
        <w:rPr>
          <w:rFonts w:ascii="仿宋" w:hAnsi="仿宋" w:eastAsia="仿宋" w:cs="Times New Roman"/>
          <w:bCs/>
          <w:sz w:val="28"/>
          <w:szCs w:val="28"/>
        </w:rPr>
      </w:pPr>
      <w:r>
        <w:rPr>
          <w:rFonts w:hint="eastAsia" w:ascii="仿宋" w:hAnsi="仿宋" w:eastAsia="仿宋" w:cs="Times New Roman"/>
          <w:bCs/>
          <w:sz w:val="28"/>
          <w:szCs w:val="28"/>
        </w:rPr>
        <w:t>高效节水灌溉工程建设，在节水节地，高产高效，保护生态环境方面，具有显著的经济效益、生态效益、社会效益，同时起到促进丘陵山区的传统农业向高效农业、生态农业、观光农业转变的作用。十四五期间，计划建设高效节水灌溉农田0</w:t>
      </w:r>
      <w:r>
        <w:rPr>
          <w:rFonts w:ascii="仿宋" w:hAnsi="仿宋" w:eastAsia="仿宋" w:cs="Times New Roman"/>
          <w:bCs/>
          <w:sz w:val="28"/>
          <w:szCs w:val="28"/>
        </w:rPr>
        <w:t>.04</w:t>
      </w:r>
      <w:r>
        <w:rPr>
          <w:rFonts w:hint="eastAsia" w:ascii="仿宋" w:hAnsi="仿宋" w:eastAsia="仿宋" w:cs="Times New Roman"/>
          <w:bCs/>
          <w:sz w:val="28"/>
          <w:szCs w:val="28"/>
        </w:rPr>
        <w:t>万亩，主要位于石滩镇、元和街道。</w:t>
      </w:r>
    </w:p>
    <w:p>
      <w:pPr>
        <w:jc w:val="center"/>
        <w:rPr>
          <w:rFonts w:ascii="仿宋" w:hAnsi="仿宋" w:eastAsia="仿宋" w:cs="Times New Roman"/>
          <w:bCs/>
          <w:sz w:val="24"/>
          <w:szCs w:val="28"/>
        </w:rPr>
      </w:pPr>
      <w:r>
        <w:rPr>
          <w:rFonts w:hint="eastAsia" w:ascii="仿宋" w:hAnsi="仿宋" w:eastAsia="仿宋" w:cs="Times New Roman"/>
          <w:bCs/>
          <w:sz w:val="24"/>
          <w:szCs w:val="28"/>
        </w:rPr>
        <w:t>表</w:t>
      </w:r>
      <w:r>
        <w:rPr>
          <w:rFonts w:ascii="仿宋" w:hAnsi="仿宋" w:eastAsia="仿宋" w:cs="Times New Roman"/>
          <w:bCs/>
          <w:sz w:val="24"/>
          <w:szCs w:val="28"/>
        </w:rPr>
        <w:t>3-5</w:t>
      </w:r>
      <w:r>
        <w:rPr>
          <w:rFonts w:hint="eastAsia" w:ascii="仿宋" w:hAnsi="仿宋" w:eastAsia="仿宋" w:cs="Times New Roman"/>
          <w:bCs/>
          <w:sz w:val="24"/>
          <w:szCs w:val="28"/>
        </w:rPr>
        <w:t>云和县高标准农田建设“十四五”规划高效节水灌溉可实现潜力分析表</w:t>
      </w:r>
    </w:p>
    <w:p>
      <w:pPr>
        <w:ind w:firstLine="555"/>
        <w:jc w:val="right"/>
        <w:rPr>
          <w:rFonts w:ascii="仿宋" w:hAnsi="仿宋" w:eastAsia="仿宋" w:cs="Times New Roman"/>
          <w:bCs/>
          <w:sz w:val="28"/>
          <w:szCs w:val="28"/>
        </w:rPr>
      </w:pPr>
      <w:r>
        <w:rPr>
          <w:rFonts w:hint="eastAsia" w:ascii="仿宋" w:hAnsi="仿宋" w:eastAsia="仿宋" w:cs="Times New Roman"/>
          <w:bCs/>
          <w:sz w:val="24"/>
          <w:szCs w:val="28"/>
        </w:rPr>
        <w:t>单位：亩</w:t>
      </w:r>
    </w:p>
    <w:tbl>
      <w:tblPr>
        <w:tblStyle w:val="85"/>
        <w:tblW w:w="5000" w:type="pct"/>
        <w:tblInd w:w="0" w:type="dxa"/>
        <w:tblLayout w:type="autofit"/>
        <w:tblCellMar>
          <w:top w:w="0" w:type="dxa"/>
          <w:left w:w="108" w:type="dxa"/>
          <w:bottom w:w="0" w:type="dxa"/>
          <w:right w:w="108" w:type="dxa"/>
        </w:tblCellMar>
      </w:tblPr>
      <w:tblGrid>
        <w:gridCol w:w="1704"/>
        <w:gridCol w:w="1704"/>
        <w:gridCol w:w="1704"/>
        <w:gridCol w:w="1705"/>
        <w:gridCol w:w="1705"/>
      </w:tblGrid>
      <w:tr>
        <w:tblPrEx>
          <w:tblCellMar>
            <w:top w:w="0" w:type="dxa"/>
            <w:left w:w="108" w:type="dxa"/>
            <w:bottom w:w="0" w:type="dxa"/>
            <w:right w:w="108" w:type="dxa"/>
          </w:tblCellMar>
        </w:tblPrEx>
        <w:trPr>
          <w:trHeight w:val="300" w:hRule="atLeast"/>
        </w:trPr>
        <w:tc>
          <w:tcPr>
            <w:tcW w:w="2000" w:type="pct"/>
            <w:gridSpan w:val="2"/>
            <w:vMerge w:val="restart"/>
            <w:tcBorders>
              <w:top w:val="single" w:color="auto" w:sz="8" w:space="0"/>
              <w:left w:val="single" w:color="auto" w:sz="8" w:space="0"/>
              <w:bottom w:val="single" w:color="000000" w:sz="8" w:space="0"/>
              <w:right w:val="single" w:color="000000"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行政区</w:t>
            </w:r>
          </w:p>
        </w:tc>
        <w:tc>
          <w:tcPr>
            <w:tcW w:w="2000" w:type="pct"/>
            <w:gridSpan w:val="2"/>
            <w:tcBorders>
              <w:top w:val="single" w:color="auto" w:sz="8" w:space="0"/>
              <w:left w:val="nil"/>
              <w:bottom w:val="single" w:color="auto" w:sz="8" w:space="0"/>
              <w:right w:val="nil"/>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近期实施年份</w:t>
            </w:r>
          </w:p>
        </w:tc>
        <w:tc>
          <w:tcPr>
            <w:tcW w:w="1000"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合计</w:t>
            </w:r>
          </w:p>
        </w:tc>
      </w:tr>
      <w:tr>
        <w:tblPrEx>
          <w:tblCellMar>
            <w:top w:w="0" w:type="dxa"/>
            <w:left w:w="108" w:type="dxa"/>
            <w:bottom w:w="0" w:type="dxa"/>
            <w:right w:w="108" w:type="dxa"/>
          </w:tblCellMar>
        </w:tblPrEx>
        <w:trPr>
          <w:trHeight w:val="300" w:hRule="atLeast"/>
        </w:trPr>
        <w:tc>
          <w:tcPr>
            <w:tcW w:w="2000" w:type="pct"/>
            <w:gridSpan w:val="2"/>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ascii="仿宋" w:hAnsi="仿宋" w:eastAsia="仿宋" w:cs="宋体"/>
                <w:bCs/>
                <w:color w:val="000000"/>
                <w:kern w:val="0"/>
                <w:sz w:val="22"/>
              </w:rPr>
            </w:pP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2024</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2025</w:t>
            </w:r>
          </w:p>
        </w:tc>
        <w:tc>
          <w:tcPr>
            <w:tcW w:w="1000" w:type="pct"/>
            <w:vMerge w:val="continue"/>
            <w:tcBorders>
              <w:top w:val="single" w:color="auto" w:sz="8" w:space="0"/>
              <w:left w:val="single" w:color="auto" w:sz="8" w:space="0"/>
              <w:bottom w:val="single" w:color="000000" w:sz="8" w:space="0"/>
              <w:right w:val="single" w:color="auto" w:sz="8" w:space="0"/>
            </w:tcBorders>
            <w:vAlign w:val="center"/>
          </w:tcPr>
          <w:p>
            <w:pPr>
              <w:widowControl/>
              <w:jc w:val="left"/>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300" w:hRule="atLeast"/>
        </w:trPr>
        <w:tc>
          <w:tcPr>
            <w:tcW w:w="1000"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元和街道</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小徐村</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275</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275</w:t>
            </w:r>
          </w:p>
        </w:tc>
      </w:tr>
      <w:tr>
        <w:tblPrEx>
          <w:tblCellMar>
            <w:top w:w="0" w:type="dxa"/>
            <w:left w:w="108" w:type="dxa"/>
            <w:bottom w:w="0" w:type="dxa"/>
            <w:right w:w="108" w:type="dxa"/>
          </w:tblCellMar>
        </w:tblPrEx>
        <w:trPr>
          <w:trHeight w:val="300" w:hRule="atLeast"/>
        </w:trPr>
        <w:tc>
          <w:tcPr>
            <w:tcW w:w="1000"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朱村村</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147</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147</w:t>
            </w:r>
          </w:p>
        </w:tc>
      </w:tr>
      <w:tr>
        <w:tblPrEx>
          <w:tblCellMar>
            <w:top w:w="0" w:type="dxa"/>
            <w:left w:w="108" w:type="dxa"/>
            <w:bottom w:w="0" w:type="dxa"/>
            <w:right w:w="108" w:type="dxa"/>
          </w:tblCellMar>
        </w:tblPrEx>
        <w:trPr>
          <w:trHeight w:val="300" w:hRule="atLeast"/>
        </w:trPr>
        <w:tc>
          <w:tcPr>
            <w:tcW w:w="2000" w:type="pct"/>
            <w:gridSpan w:val="2"/>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275</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147</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4</w:t>
            </w:r>
            <w:r>
              <w:rPr>
                <w:rFonts w:ascii="仿宋" w:hAnsi="仿宋" w:eastAsia="仿宋" w:cs="宋体"/>
                <w:bCs/>
                <w:color w:val="000000"/>
                <w:kern w:val="0"/>
                <w:sz w:val="22"/>
              </w:rPr>
              <w:t>22</w:t>
            </w:r>
          </w:p>
        </w:tc>
      </w:tr>
    </w:tbl>
    <w:p>
      <w:pPr>
        <w:kinsoku w:val="0"/>
        <w:overflowPunct w:val="0"/>
        <w:autoSpaceDE w:val="0"/>
        <w:autoSpaceDN w:val="0"/>
        <w:adjustRightInd w:val="0"/>
        <w:spacing w:before="62"/>
        <w:jc w:val="center"/>
        <w:rPr>
          <w:rFonts w:ascii="仿宋" w:hAnsi="仿宋" w:eastAsia="仿宋" w:cs="仿宋"/>
          <w:bCs/>
          <w:kern w:val="0"/>
          <w:sz w:val="24"/>
          <w:szCs w:val="24"/>
        </w:rPr>
      </w:pPr>
      <w:r>
        <w:rPr>
          <w:rFonts w:ascii="仿宋" w:hAnsi="仿宋" w:eastAsia="仿宋"/>
          <w:bCs/>
        </w:rPr>
        <w:drawing>
          <wp:inline distT="0" distB="0" distL="0" distR="0">
            <wp:extent cx="5274310" cy="2131695"/>
            <wp:effectExtent l="0" t="0" r="2540" b="190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21" cstate="print">
                      <a:extLst>
                        <a:ext uri="{28A0092B-C50C-407E-A947-70E740481C1C}">
                          <a14:useLocalDpi xmlns:a14="http://schemas.microsoft.com/office/drawing/2010/main" val="false"/>
                        </a:ext>
                      </a:extLst>
                    </a:blip>
                    <a:srcRect/>
                    <a:stretch>
                      <a:fillRect/>
                    </a:stretch>
                  </pic:blipFill>
                  <pic:spPr>
                    <a:xfrm>
                      <a:off x="0" y="0"/>
                      <a:ext cx="5289351" cy="2137804"/>
                    </a:xfrm>
                    <a:prstGeom prst="rect">
                      <a:avLst/>
                    </a:prstGeom>
                    <a:noFill/>
                    <a:ln>
                      <a:noFill/>
                    </a:ln>
                  </pic:spPr>
                </pic:pic>
              </a:graphicData>
            </a:graphic>
          </wp:inline>
        </w:drawing>
      </w:r>
      <w:r>
        <w:rPr>
          <w:rFonts w:hint="eastAsia" w:ascii="仿宋" w:hAnsi="仿宋" w:eastAsia="仿宋" w:cs="仿宋"/>
          <w:bCs/>
          <w:kern w:val="0"/>
          <w:sz w:val="24"/>
          <w:szCs w:val="24"/>
        </w:rPr>
        <w:t>图</w:t>
      </w:r>
      <w:r>
        <w:rPr>
          <w:rFonts w:ascii="仿宋" w:hAnsi="仿宋" w:eastAsia="仿宋" w:cs="仿宋"/>
          <w:bCs/>
          <w:kern w:val="0"/>
          <w:sz w:val="24"/>
          <w:szCs w:val="24"/>
        </w:rPr>
        <w:t>3-3</w:t>
      </w:r>
      <w:r>
        <w:rPr>
          <w:rFonts w:hint="eastAsia" w:ascii="仿宋" w:hAnsi="仿宋" w:eastAsia="仿宋" w:cs="仿宋"/>
          <w:bCs/>
          <w:kern w:val="0"/>
          <w:sz w:val="24"/>
          <w:szCs w:val="24"/>
        </w:rPr>
        <w:t>山区智能节水灌溉意向图</w:t>
      </w:r>
    </w:p>
    <w:p>
      <w:pPr>
        <w:keepNext/>
        <w:keepLines/>
        <w:spacing w:before="260" w:after="260" w:line="416" w:lineRule="auto"/>
        <w:jc w:val="left"/>
        <w:outlineLvl w:val="1"/>
        <w:rPr>
          <w:rFonts w:ascii="仿宋" w:hAnsi="仿宋" w:eastAsia="仿宋" w:cs="Times New Roman"/>
          <w:b/>
          <w:sz w:val="30"/>
          <w:szCs w:val="30"/>
        </w:rPr>
      </w:pPr>
      <w:bookmarkStart w:id="28" w:name="_Toc95983079"/>
      <w:bookmarkStart w:id="29" w:name="_Toc99549039"/>
      <w:r>
        <w:rPr>
          <w:rFonts w:hint="eastAsia" w:ascii="仿宋" w:hAnsi="仿宋" w:eastAsia="仿宋" w:cs="Times New Roman"/>
          <w:b/>
          <w:sz w:val="30"/>
          <w:szCs w:val="30"/>
        </w:rPr>
        <w:t>二、空间布局</w:t>
      </w:r>
      <w:bookmarkEnd w:id="28"/>
      <w:bookmarkEnd w:id="29"/>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建设主要以农业后备资源丰富，增产潜力显著的连片农田作为规划主区域。根据《浙江省农业综合区划》，结合全县不同区域耕地特点和耕作习惯，将全县耕地划分为北部丘陵农区、中部河谷农区和南部梯田农区，因地制宜，采取针对性措施，推动高标准农田建设。</w:t>
      </w:r>
    </w:p>
    <w:p>
      <w:pPr>
        <w:jc w:val="center"/>
        <w:rPr>
          <w:rFonts w:ascii="仿宋" w:hAnsi="仿宋" w:eastAsia="仿宋" w:cs="Times New Roman"/>
          <w:bCs/>
          <w:sz w:val="28"/>
          <w:szCs w:val="28"/>
        </w:rPr>
      </w:pPr>
      <w:r>
        <w:rPr>
          <w:rFonts w:ascii="仿宋" w:hAnsi="仿宋" w:eastAsia="仿宋" w:cs="Times New Roman"/>
          <w:bCs/>
          <w:sz w:val="24"/>
          <w:szCs w:val="24"/>
        </w:rPr>
        <w:drawing>
          <wp:inline distT="0" distB="0" distL="0" distR="0">
            <wp:extent cx="5278755" cy="6361430"/>
            <wp:effectExtent l="0" t="0" r="0" b="127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noChangeArrowheads="true"/>
                    </pic:cNvPicPr>
                  </pic:nvPicPr>
                  <pic:blipFill>
                    <a:blip r:embed="rId22">
                      <a:extLst>
                        <a:ext uri="{28A0092B-C50C-407E-A947-70E740481C1C}">
                          <a14:useLocalDpi xmlns:a14="http://schemas.microsoft.com/office/drawing/2010/main" val="false"/>
                        </a:ext>
                      </a:extLst>
                    </a:blip>
                    <a:stretch>
                      <a:fillRect/>
                    </a:stretch>
                  </pic:blipFill>
                  <pic:spPr>
                    <a:xfrm>
                      <a:off x="0" y="0"/>
                      <a:ext cx="5278995" cy="6361865"/>
                    </a:xfrm>
                    <a:prstGeom prst="rect">
                      <a:avLst/>
                    </a:prstGeom>
                    <a:noFill/>
                    <a:ln>
                      <a:noFill/>
                    </a:ln>
                  </pic:spPr>
                </pic:pic>
              </a:graphicData>
            </a:graphic>
          </wp:inline>
        </w:drawing>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图</w:t>
      </w:r>
      <w:r>
        <w:rPr>
          <w:rFonts w:ascii="仿宋" w:hAnsi="仿宋" w:eastAsia="仿宋" w:cs="Times New Roman"/>
          <w:bCs/>
          <w:sz w:val="24"/>
          <w:szCs w:val="28"/>
        </w:rPr>
        <w:t>3-4</w:t>
      </w:r>
      <w:r>
        <w:rPr>
          <w:rFonts w:hint="eastAsia" w:ascii="仿宋" w:hAnsi="仿宋" w:eastAsia="仿宋" w:cs="Times New Roman"/>
          <w:bCs/>
          <w:sz w:val="24"/>
          <w:szCs w:val="28"/>
        </w:rPr>
        <w:t>云和县高标准农田建设“十四五”规划空间布局意向图</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（一）北部丘陵农区</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1、区域范围</w:t>
      </w:r>
    </w:p>
    <w:p>
      <w:pPr>
        <w:ind w:firstLine="555"/>
        <w:rPr>
          <w:rFonts w:ascii="仿宋" w:hAnsi="仿宋" w:eastAsia="仿宋" w:cs="Times New Roman"/>
          <w:bCs/>
          <w:sz w:val="28"/>
          <w:szCs w:val="28"/>
        </w:rPr>
      </w:pPr>
      <w:r>
        <w:rPr>
          <w:rFonts w:hint="eastAsia" w:ascii="仿宋" w:hAnsi="仿宋" w:eastAsia="仿宋" w:cs="Times New Roman"/>
          <w:bCs/>
          <w:sz w:val="28"/>
          <w:szCs w:val="28"/>
        </w:rPr>
        <w:t>北部丘陵农区主要位于石塘镇、紧水滩镇，区域内已建高标准农田占全县2</w:t>
      </w:r>
      <w:r>
        <w:rPr>
          <w:rFonts w:ascii="仿宋" w:hAnsi="仿宋" w:eastAsia="仿宋" w:cs="Times New Roman"/>
          <w:bCs/>
          <w:sz w:val="28"/>
          <w:szCs w:val="28"/>
        </w:rPr>
        <w:t>3</w:t>
      </w:r>
      <w:r>
        <w:rPr>
          <w:rFonts w:hint="eastAsia" w:ascii="仿宋" w:hAnsi="仿宋" w:eastAsia="仿宋" w:cs="Times New Roman"/>
          <w:bCs/>
          <w:sz w:val="28"/>
          <w:szCs w:val="28"/>
        </w:rPr>
        <w:t>%。其中紧水滩镇”十二五”以来高标准农田建设项目较多，且受到地形地貌的影响，高标准农田建设条件较差，故该区域已建高标准农田提质改造潜力较大。</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2、耕地特征</w:t>
      </w:r>
    </w:p>
    <w:p>
      <w:pPr>
        <w:ind w:firstLine="555"/>
        <w:rPr>
          <w:rFonts w:ascii="仿宋" w:hAnsi="仿宋" w:eastAsia="仿宋" w:cs="Times New Roman"/>
          <w:bCs/>
          <w:sz w:val="28"/>
          <w:szCs w:val="28"/>
        </w:rPr>
      </w:pPr>
      <w:r>
        <w:rPr>
          <w:rFonts w:hint="eastAsia" w:ascii="仿宋" w:hAnsi="仿宋" w:eastAsia="仿宋" w:cs="Times New Roman"/>
          <w:bCs/>
          <w:sz w:val="28"/>
          <w:szCs w:val="28"/>
        </w:rPr>
        <w:t>区域耕地面积</w:t>
      </w:r>
      <w:r>
        <w:rPr>
          <w:rFonts w:ascii="仿宋" w:hAnsi="仿宋" w:eastAsia="仿宋" w:cs="Times New Roman"/>
          <w:bCs/>
          <w:sz w:val="28"/>
          <w:szCs w:val="28"/>
        </w:rPr>
        <w:t>2.70</w:t>
      </w:r>
      <w:r>
        <w:rPr>
          <w:rFonts w:hint="eastAsia" w:ascii="仿宋" w:hAnsi="仿宋" w:eastAsia="仿宋" w:cs="Times New Roman"/>
          <w:bCs/>
          <w:sz w:val="28"/>
          <w:szCs w:val="28"/>
        </w:rPr>
        <w:t>万亩，其中水田</w:t>
      </w:r>
      <w:r>
        <w:rPr>
          <w:rFonts w:ascii="仿宋" w:hAnsi="仿宋" w:eastAsia="仿宋" w:cs="Times New Roman"/>
          <w:bCs/>
          <w:sz w:val="28"/>
          <w:szCs w:val="28"/>
        </w:rPr>
        <w:t>2.46</w:t>
      </w:r>
      <w:r>
        <w:rPr>
          <w:rFonts w:hint="eastAsia" w:ascii="仿宋" w:hAnsi="仿宋" w:eastAsia="仿宋" w:cs="Times New Roman"/>
          <w:bCs/>
          <w:sz w:val="28"/>
          <w:szCs w:val="28"/>
        </w:rPr>
        <w:t>万亩，占该区域耕地总面积的</w:t>
      </w:r>
      <w:r>
        <w:rPr>
          <w:rFonts w:ascii="仿宋" w:hAnsi="仿宋" w:eastAsia="仿宋" w:cs="Times New Roman"/>
          <w:bCs/>
          <w:sz w:val="28"/>
          <w:szCs w:val="28"/>
        </w:rPr>
        <w:t>91</w:t>
      </w:r>
      <w:r>
        <w:rPr>
          <w:rFonts w:hint="eastAsia" w:ascii="仿宋" w:hAnsi="仿宋" w:eastAsia="仿宋" w:cs="Times New Roman"/>
          <w:bCs/>
          <w:sz w:val="28"/>
          <w:szCs w:val="28"/>
        </w:rPr>
        <w:t>%；旱地0.</w:t>
      </w:r>
      <w:r>
        <w:rPr>
          <w:rFonts w:ascii="仿宋" w:hAnsi="仿宋" w:eastAsia="仿宋" w:cs="Times New Roman"/>
          <w:bCs/>
          <w:sz w:val="28"/>
          <w:szCs w:val="28"/>
        </w:rPr>
        <w:t>24</w:t>
      </w:r>
      <w:r>
        <w:rPr>
          <w:rFonts w:hint="eastAsia" w:ascii="仿宋" w:hAnsi="仿宋" w:eastAsia="仿宋" w:cs="Times New Roman"/>
          <w:bCs/>
          <w:sz w:val="28"/>
          <w:szCs w:val="28"/>
        </w:rPr>
        <w:t>万亩，占该区域耕地总面积的</w:t>
      </w:r>
      <w:r>
        <w:rPr>
          <w:rFonts w:ascii="仿宋" w:hAnsi="仿宋" w:eastAsia="仿宋" w:cs="Times New Roman"/>
          <w:bCs/>
          <w:sz w:val="28"/>
          <w:szCs w:val="28"/>
        </w:rPr>
        <w:t>9</w:t>
      </w:r>
      <w:r>
        <w:rPr>
          <w:rFonts w:hint="eastAsia" w:ascii="仿宋" w:hAnsi="仿宋" w:eastAsia="仿宋" w:cs="Times New Roman"/>
          <w:bCs/>
          <w:sz w:val="28"/>
          <w:szCs w:val="28"/>
        </w:rPr>
        <w:t>%；坡度≤2°的耕地面积为0.</w:t>
      </w:r>
      <w:r>
        <w:rPr>
          <w:rFonts w:ascii="仿宋" w:hAnsi="仿宋" w:eastAsia="仿宋" w:cs="Times New Roman"/>
          <w:bCs/>
          <w:sz w:val="28"/>
          <w:szCs w:val="28"/>
        </w:rPr>
        <w:t>17</w:t>
      </w:r>
      <w:r>
        <w:rPr>
          <w:rFonts w:hint="eastAsia" w:ascii="仿宋" w:hAnsi="仿宋" w:eastAsia="仿宋" w:cs="Times New Roman"/>
          <w:bCs/>
          <w:sz w:val="28"/>
          <w:szCs w:val="28"/>
        </w:rPr>
        <w:t>万亩，占该区域耕地总面积的</w:t>
      </w:r>
      <w:r>
        <w:rPr>
          <w:rFonts w:ascii="仿宋" w:hAnsi="仿宋" w:eastAsia="仿宋" w:cs="Times New Roman"/>
          <w:bCs/>
          <w:sz w:val="28"/>
          <w:szCs w:val="28"/>
        </w:rPr>
        <w:t>6</w:t>
      </w:r>
      <w:r>
        <w:rPr>
          <w:rFonts w:hint="eastAsia" w:ascii="仿宋" w:hAnsi="仿宋" w:eastAsia="仿宋" w:cs="Times New Roman"/>
          <w:bCs/>
          <w:sz w:val="28"/>
          <w:szCs w:val="28"/>
        </w:rPr>
        <w:t>%；坡度为2°～6°的耕地面积为0.1</w:t>
      </w:r>
      <w:r>
        <w:rPr>
          <w:rFonts w:ascii="仿宋" w:hAnsi="仿宋" w:eastAsia="仿宋" w:cs="Times New Roman"/>
          <w:bCs/>
          <w:sz w:val="28"/>
          <w:szCs w:val="28"/>
        </w:rPr>
        <w:t>7</w:t>
      </w:r>
      <w:r>
        <w:rPr>
          <w:rFonts w:hint="eastAsia" w:ascii="仿宋" w:hAnsi="仿宋" w:eastAsia="仿宋" w:cs="Times New Roman"/>
          <w:bCs/>
          <w:sz w:val="28"/>
          <w:szCs w:val="28"/>
        </w:rPr>
        <w:t>万亩，占该区域耕地总面积的</w:t>
      </w:r>
      <w:r>
        <w:rPr>
          <w:rFonts w:ascii="仿宋" w:hAnsi="仿宋" w:eastAsia="仿宋" w:cs="Times New Roman"/>
          <w:bCs/>
          <w:sz w:val="28"/>
          <w:szCs w:val="28"/>
        </w:rPr>
        <w:t>6</w:t>
      </w:r>
      <w:r>
        <w:rPr>
          <w:rFonts w:hint="eastAsia" w:ascii="仿宋" w:hAnsi="仿宋" w:eastAsia="仿宋" w:cs="Times New Roman"/>
          <w:bCs/>
          <w:sz w:val="28"/>
          <w:szCs w:val="28"/>
        </w:rPr>
        <w:t>%；坡度为6°～15°的耕地面积为0.</w:t>
      </w:r>
      <w:r>
        <w:rPr>
          <w:rFonts w:ascii="仿宋" w:hAnsi="仿宋" w:eastAsia="仿宋" w:cs="Times New Roman"/>
          <w:bCs/>
          <w:sz w:val="28"/>
          <w:szCs w:val="28"/>
        </w:rPr>
        <w:t>46</w:t>
      </w:r>
      <w:r>
        <w:rPr>
          <w:rFonts w:hint="eastAsia" w:ascii="仿宋" w:hAnsi="仿宋" w:eastAsia="仿宋" w:cs="Times New Roman"/>
          <w:bCs/>
          <w:sz w:val="28"/>
          <w:szCs w:val="28"/>
        </w:rPr>
        <w:t>万亩，占该区域耕地总面积的</w:t>
      </w:r>
      <w:r>
        <w:rPr>
          <w:rFonts w:ascii="仿宋" w:hAnsi="仿宋" w:eastAsia="仿宋" w:cs="Times New Roman"/>
          <w:bCs/>
          <w:sz w:val="28"/>
          <w:szCs w:val="28"/>
        </w:rPr>
        <w:t>17</w:t>
      </w:r>
      <w:r>
        <w:rPr>
          <w:rFonts w:hint="eastAsia" w:ascii="仿宋" w:hAnsi="仿宋" w:eastAsia="仿宋" w:cs="Times New Roman"/>
          <w:bCs/>
          <w:sz w:val="28"/>
          <w:szCs w:val="28"/>
        </w:rPr>
        <w:t>%，坡度≥15°的耕地面积为</w:t>
      </w:r>
      <w:r>
        <w:rPr>
          <w:rFonts w:ascii="仿宋" w:hAnsi="仿宋" w:eastAsia="仿宋" w:cs="Times New Roman"/>
          <w:bCs/>
          <w:sz w:val="28"/>
          <w:szCs w:val="28"/>
        </w:rPr>
        <w:t>1.89</w:t>
      </w:r>
      <w:r>
        <w:rPr>
          <w:rFonts w:hint="eastAsia" w:ascii="仿宋" w:hAnsi="仿宋" w:eastAsia="仿宋" w:cs="Times New Roman"/>
          <w:bCs/>
          <w:sz w:val="28"/>
          <w:szCs w:val="28"/>
        </w:rPr>
        <w:t>万亩，占该区域耕地总面积的</w:t>
      </w:r>
      <w:r>
        <w:rPr>
          <w:rFonts w:ascii="仿宋" w:hAnsi="仿宋" w:eastAsia="仿宋" w:cs="Times New Roman"/>
          <w:bCs/>
          <w:sz w:val="28"/>
          <w:szCs w:val="28"/>
        </w:rPr>
        <w:t>71</w:t>
      </w:r>
      <w:r>
        <w:rPr>
          <w:rFonts w:hint="eastAsia" w:ascii="仿宋" w:hAnsi="仿宋" w:eastAsia="仿宋" w:cs="Times New Roman"/>
          <w:bCs/>
          <w:sz w:val="28"/>
          <w:szCs w:val="28"/>
        </w:rPr>
        <w:t>%。</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3、本区高标准农田建设需要着力解决的主要问题</w:t>
      </w:r>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高标准农田建设需重点关注农田水利以及土地平整问题，该区域丘陵盆地相间分布，但是地势起伏较大，土地平整引水灌溉问题需着力解决。</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4、高标准农田建设潜力分析</w:t>
      </w:r>
    </w:p>
    <w:p>
      <w:pPr>
        <w:kinsoku w:val="0"/>
        <w:overflowPunct w:val="0"/>
        <w:autoSpaceDE w:val="0"/>
        <w:autoSpaceDN w:val="0"/>
        <w:adjustRightInd w:val="0"/>
        <w:spacing w:before="135"/>
        <w:jc w:val="center"/>
        <w:rPr>
          <w:rFonts w:ascii="仿宋" w:hAnsi="仿宋" w:eastAsia="仿宋" w:cs="仿宋"/>
          <w:bCs/>
          <w:kern w:val="0"/>
          <w:sz w:val="24"/>
          <w:szCs w:val="24"/>
        </w:rPr>
      </w:pPr>
      <w:r>
        <w:rPr>
          <w:rFonts w:hint="eastAsia" w:ascii="仿宋" w:hAnsi="仿宋" w:eastAsia="仿宋" w:cs="仿宋"/>
          <w:bCs/>
          <w:kern w:val="0"/>
          <w:sz w:val="24"/>
          <w:szCs w:val="24"/>
        </w:rPr>
        <w:t>表</w:t>
      </w:r>
      <w:r>
        <w:rPr>
          <w:rFonts w:ascii="仿宋" w:hAnsi="仿宋" w:eastAsia="仿宋" w:cs="Times New Roman"/>
          <w:bCs/>
          <w:kern w:val="0"/>
          <w:sz w:val="24"/>
          <w:szCs w:val="24"/>
        </w:rPr>
        <w:t>3-6</w:t>
      </w:r>
      <w:r>
        <w:rPr>
          <w:rFonts w:hint="eastAsia" w:ascii="仿宋" w:hAnsi="仿宋" w:eastAsia="仿宋" w:cs="仿宋"/>
          <w:bCs/>
          <w:kern w:val="0"/>
          <w:sz w:val="24"/>
          <w:szCs w:val="24"/>
        </w:rPr>
        <w:t>北部丘陵农区高标准农田建设</w:t>
      </w:r>
      <w:r>
        <w:rPr>
          <w:rFonts w:hint="eastAsia" w:ascii="仿宋" w:hAnsi="仿宋" w:eastAsia="仿宋" w:cs="Times New Roman"/>
          <w:bCs/>
          <w:sz w:val="24"/>
          <w:szCs w:val="28"/>
        </w:rPr>
        <w:t>可实现</w:t>
      </w:r>
      <w:r>
        <w:rPr>
          <w:rFonts w:hint="eastAsia" w:ascii="仿宋" w:hAnsi="仿宋" w:eastAsia="仿宋" w:cs="仿宋"/>
          <w:bCs/>
          <w:kern w:val="0"/>
          <w:sz w:val="24"/>
          <w:szCs w:val="24"/>
        </w:rPr>
        <w:t>潜力分析表</w:t>
      </w:r>
    </w:p>
    <w:p>
      <w:pPr>
        <w:kinsoku w:val="0"/>
        <w:overflowPunct w:val="0"/>
        <w:autoSpaceDE w:val="0"/>
        <w:autoSpaceDN w:val="0"/>
        <w:adjustRightInd w:val="0"/>
        <w:spacing w:before="5" w:after="2"/>
        <w:ind w:right="178"/>
        <w:jc w:val="right"/>
        <w:rPr>
          <w:rFonts w:ascii="仿宋" w:hAnsi="仿宋" w:eastAsia="仿宋" w:cs="仿宋"/>
          <w:bCs/>
          <w:kern w:val="0"/>
          <w:sz w:val="24"/>
          <w:szCs w:val="24"/>
        </w:rPr>
      </w:pPr>
      <w:r>
        <w:rPr>
          <w:rFonts w:ascii="仿宋" w:hAnsi="仿宋" w:eastAsia="仿宋" w:cs="仿宋"/>
          <w:bCs/>
          <w:kern w:val="0"/>
          <w:sz w:val="24"/>
          <w:szCs w:val="24"/>
        </w:rPr>
        <w:t xml:space="preserve">   </w:t>
      </w:r>
      <w:r>
        <w:rPr>
          <w:rFonts w:hint="eastAsia" w:ascii="仿宋" w:hAnsi="仿宋" w:eastAsia="仿宋" w:cs="仿宋"/>
          <w:bCs/>
          <w:kern w:val="0"/>
          <w:sz w:val="24"/>
          <w:szCs w:val="24"/>
        </w:rPr>
        <w:t>单位：亩</w:t>
      </w:r>
    </w:p>
    <w:tbl>
      <w:tblPr>
        <w:tblStyle w:val="85"/>
        <w:tblW w:w="5000" w:type="pct"/>
        <w:tblInd w:w="0" w:type="dxa"/>
        <w:tblLayout w:type="autofit"/>
        <w:tblCellMar>
          <w:top w:w="0" w:type="dxa"/>
          <w:left w:w="108" w:type="dxa"/>
          <w:bottom w:w="0" w:type="dxa"/>
          <w:right w:w="108" w:type="dxa"/>
        </w:tblCellMar>
      </w:tblPr>
      <w:tblGrid>
        <w:gridCol w:w="1157"/>
        <w:gridCol w:w="1312"/>
        <w:gridCol w:w="1312"/>
        <w:gridCol w:w="1600"/>
        <w:gridCol w:w="1458"/>
        <w:gridCol w:w="1683"/>
      </w:tblGrid>
      <w:tr>
        <w:tblPrEx>
          <w:tblCellMar>
            <w:top w:w="0" w:type="dxa"/>
            <w:left w:w="108" w:type="dxa"/>
            <w:bottom w:w="0" w:type="dxa"/>
            <w:right w:w="108" w:type="dxa"/>
          </w:tblCellMar>
        </w:tblPrEx>
        <w:trPr>
          <w:trHeight w:val="285" w:hRule="atLeast"/>
        </w:trPr>
        <w:tc>
          <w:tcPr>
            <w:tcW w:w="67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耕地</w:t>
            </w:r>
          </w:p>
        </w:tc>
        <w:tc>
          <w:tcPr>
            <w:tcW w:w="7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已建设高标准农田</w:t>
            </w:r>
          </w:p>
        </w:tc>
        <w:tc>
          <w:tcPr>
            <w:tcW w:w="3551" w:type="pct"/>
            <w:gridSpan w:val="4"/>
            <w:tcBorders>
              <w:top w:val="single" w:color="auto" w:sz="4" w:space="0"/>
              <w:left w:val="nil"/>
              <w:bottom w:val="single" w:color="auto" w:sz="4" w:space="0"/>
              <w:right w:val="single" w:color="auto" w:sz="4" w:space="0"/>
            </w:tcBorders>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潜力情况</w:t>
            </w:r>
          </w:p>
        </w:tc>
      </w:tr>
      <w:tr>
        <w:tblPrEx>
          <w:tblCellMar>
            <w:top w:w="0" w:type="dxa"/>
            <w:left w:w="108" w:type="dxa"/>
            <w:bottom w:w="0" w:type="dxa"/>
            <w:right w:w="108" w:type="dxa"/>
          </w:tblCellMar>
        </w:tblPrEx>
        <w:trPr>
          <w:trHeight w:val="540" w:hRule="atLeast"/>
        </w:trPr>
        <w:tc>
          <w:tcPr>
            <w:tcW w:w="67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Cs/>
                <w:color w:val="000000"/>
                <w:kern w:val="0"/>
                <w:sz w:val="22"/>
              </w:rPr>
            </w:pPr>
          </w:p>
        </w:tc>
        <w:tc>
          <w:tcPr>
            <w:tcW w:w="77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Cs/>
                <w:color w:val="000000"/>
                <w:kern w:val="0"/>
                <w:sz w:val="22"/>
              </w:rPr>
            </w:pPr>
          </w:p>
        </w:tc>
        <w:tc>
          <w:tcPr>
            <w:tcW w:w="770"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提质改造</w:t>
            </w:r>
          </w:p>
        </w:tc>
        <w:tc>
          <w:tcPr>
            <w:tcW w:w="93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绿色农田建设</w:t>
            </w:r>
          </w:p>
        </w:tc>
        <w:tc>
          <w:tcPr>
            <w:tcW w:w="855"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宜机化改造</w:t>
            </w:r>
          </w:p>
        </w:tc>
        <w:tc>
          <w:tcPr>
            <w:tcW w:w="9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高效节水灌溉</w:t>
            </w:r>
          </w:p>
        </w:tc>
      </w:tr>
      <w:tr>
        <w:tblPrEx>
          <w:tblCellMar>
            <w:top w:w="0" w:type="dxa"/>
            <w:left w:w="108" w:type="dxa"/>
            <w:bottom w:w="0" w:type="dxa"/>
            <w:right w:w="108" w:type="dxa"/>
          </w:tblCellMar>
        </w:tblPrEx>
        <w:trPr>
          <w:trHeight w:val="613" w:hRule="atLeast"/>
        </w:trPr>
        <w:tc>
          <w:tcPr>
            <w:tcW w:w="679"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26918</w:t>
            </w:r>
          </w:p>
        </w:tc>
        <w:tc>
          <w:tcPr>
            <w:tcW w:w="770"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18625</w:t>
            </w:r>
          </w:p>
        </w:tc>
        <w:tc>
          <w:tcPr>
            <w:tcW w:w="770"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2904 </w:t>
            </w:r>
          </w:p>
        </w:tc>
        <w:tc>
          <w:tcPr>
            <w:tcW w:w="93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980 </w:t>
            </w:r>
          </w:p>
        </w:tc>
        <w:tc>
          <w:tcPr>
            <w:tcW w:w="855"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147 </w:t>
            </w:r>
          </w:p>
        </w:tc>
        <w:tc>
          <w:tcPr>
            <w:tcW w:w="9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1</w:t>
            </w:r>
            <w:r>
              <w:rPr>
                <w:rFonts w:ascii="仿宋" w:hAnsi="仿宋" w:eastAsia="仿宋" w:cs="宋体"/>
                <w:bCs/>
                <w:color w:val="000000"/>
                <w:kern w:val="0"/>
                <w:sz w:val="22"/>
              </w:rPr>
              <w:t>47</w:t>
            </w:r>
          </w:p>
        </w:tc>
      </w:tr>
    </w:tbl>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（二）中部河谷农区</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1、区域范围</w:t>
      </w:r>
    </w:p>
    <w:p>
      <w:pPr>
        <w:ind w:firstLine="555"/>
        <w:rPr>
          <w:rFonts w:ascii="仿宋" w:hAnsi="仿宋" w:eastAsia="仿宋" w:cs="Times New Roman"/>
          <w:bCs/>
          <w:sz w:val="28"/>
          <w:szCs w:val="28"/>
        </w:rPr>
      </w:pPr>
      <w:r>
        <w:rPr>
          <w:rFonts w:hint="eastAsia" w:ascii="仿宋" w:hAnsi="仿宋" w:eastAsia="仿宋" w:cs="Times New Roman"/>
          <w:bCs/>
          <w:sz w:val="28"/>
          <w:szCs w:val="28"/>
        </w:rPr>
        <w:t>中部河谷农区主要位于安溪畲族乡、白龙山街道、赤石乡、凤凰山街道、浮云街道、雾溪畲族乡、元和街道，区域内耕地面积</w:t>
      </w:r>
      <w:r>
        <w:rPr>
          <w:rFonts w:ascii="仿宋" w:hAnsi="仿宋" w:eastAsia="仿宋" w:cs="Times New Roman"/>
          <w:bCs/>
          <w:sz w:val="28"/>
          <w:szCs w:val="28"/>
        </w:rPr>
        <w:t>3.74</w:t>
      </w:r>
      <w:r>
        <w:rPr>
          <w:rFonts w:hint="eastAsia" w:ascii="仿宋" w:hAnsi="仿宋" w:eastAsia="仿宋" w:cs="Times New Roman"/>
          <w:bCs/>
          <w:sz w:val="28"/>
          <w:szCs w:val="28"/>
        </w:rPr>
        <w:t>万亩，主要位于浮云溪两岸，已建高标准农田面积</w:t>
      </w:r>
      <w:r>
        <w:rPr>
          <w:rFonts w:ascii="仿宋" w:hAnsi="仿宋" w:eastAsia="仿宋" w:cs="Times New Roman"/>
          <w:bCs/>
          <w:sz w:val="28"/>
          <w:szCs w:val="28"/>
        </w:rPr>
        <w:t>2.27</w:t>
      </w:r>
      <w:r>
        <w:rPr>
          <w:rFonts w:hint="eastAsia" w:ascii="仿宋" w:hAnsi="仿宋" w:eastAsia="仿宋" w:cs="Times New Roman"/>
          <w:bCs/>
          <w:sz w:val="28"/>
          <w:szCs w:val="28"/>
        </w:rPr>
        <w:t>万亩，占全县2</w:t>
      </w:r>
      <w:r>
        <w:rPr>
          <w:rFonts w:ascii="仿宋" w:hAnsi="仿宋" w:eastAsia="仿宋" w:cs="Times New Roman"/>
          <w:bCs/>
          <w:sz w:val="28"/>
          <w:szCs w:val="28"/>
        </w:rPr>
        <w:t>7</w:t>
      </w:r>
      <w:r>
        <w:rPr>
          <w:rFonts w:hint="eastAsia" w:ascii="仿宋" w:hAnsi="仿宋" w:eastAsia="仿宋" w:cs="Times New Roman"/>
          <w:bCs/>
          <w:sz w:val="28"/>
          <w:szCs w:val="28"/>
        </w:rPr>
        <w:t>%。其中元和街道高标准农田建设项目较多，且修建年份较近，高标准农田现状条件较好，故该区域已建高标准农田提质改造潜力较小。</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2、耕地特征</w:t>
      </w:r>
    </w:p>
    <w:p>
      <w:pPr>
        <w:ind w:firstLine="555"/>
        <w:rPr>
          <w:rFonts w:ascii="仿宋" w:hAnsi="仿宋" w:eastAsia="仿宋" w:cs="Times New Roman"/>
          <w:bCs/>
          <w:sz w:val="28"/>
          <w:szCs w:val="28"/>
        </w:rPr>
      </w:pPr>
      <w:r>
        <w:rPr>
          <w:rFonts w:hint="eastAsia" w:ascii="仿宋" w:hAnsi="仿宋" w:eastAsia="仿宋" w:cs="Times New Roman"/>
          <w:bCs/>
          <w:sz w:val="28"/>
          <w:szCs w:val="28"/>
        </w:rPr>
        <w:t>区域耕地面积</w:t>
      </w:r>
      <w:r>
        <w:rPr>
          <w:rFonts w:ascii="仿宋" w:hAnsi="仿宋" w:eastAsia="仿宋" w:cs="Times New Roman"/>
          <w:bCs/>
          <w:sz w:val="28"/>
          <w:szCs w:val="28"/>
        </w:rPr>
        <w:t>3.74</w:t>
      </w:r>
      <w:r>
        <w:rPr>
          <w:rFonts w:hint="eastAsia" w:ascii="仿宋" w:hAnsi="仿宋" w:eastAsia="仿宋" w:cs="Times New Roman"/>
          <w:bCs/>
          <w:sz w:val="28"/>
          <w:szCs w:val="28"/>
        </w:rPr>
        <w:t>万亩，其中水田3.</w:t>
      </w:r>
      <w:r>
        <w:rPr>
          <w:rFonts w:ascii="仿宋" w:hAnsi="仿宋" w:eastAsia="仿宋" w:cs="Times New Roman"/>
          <w:bCs/>
          <w:sz w:val="28"/>
          <w:szCs w:val="28"/>
        </w:rPr>
        <w:t>18</w:t>
      </w:r>
      <w:r>
        <w:rPr>
          <w:rFonts w:hint="eastAsia" w:ascii="仿宋" w:hAnsi="仿宋" w:eastAsia="仿宋" w:cs="Times New Roman"/>
          <w:bCs/>
          <w:sz w:val="28"/>
          <w:szCs w:val="28"/>
        </w:rPr>
        <w:t>万亩，占该区域耕地总面积的8</w:t>
      </w:r>
      <w:r>
        <w:rPr>
          <w:rFonts w:ascii="仿宋" w:hAnsi="仿宋" w:eastAsia="仿宋" w:cs="Times New Roman"/>
          <w:bCs/>
          <w:sz w:val="28"/>
          <w:szCs w:val="28"/>
        </w:rPr>
        <w:t>5</w:t>
      </w:r>
      <w:r>
        <w:rPr>
          <w:rFonts w:hint="eastAsia" w:ascii="仿宋" w:hAnsi="仿宋" w:eastAsia="仿宋" w:cs="Times New Roman"/>
          <w:bCs/>
          <w:sz w:val="28"/>
          <w:szCs w:val="28"/>
        </w:rPr>
        <w:t>%；旱地0.</w:t>
      </w:r>
      <w:r>
        <w:rPr>
          <w:rFonts w:ascii="仿宋" w:hAnsi="仿宋" w:eastAsia="仿宋" w:cs="Times New Roman"/>
          <w:bCs/>
          <w:sz w:val="28"/>
          <w:szCs w:val="28"/>
        </w:rPr>
        <w:t>56</w:t>
      </w:r>
      <w:r>
        <w:rPr>
          <w:rFonts w:hint="eastAsia" w:ascii="仿宋" w:hAnsi="仿宋" w:eastAsia="仿宋" w:cs="Times New Roman"/>
          <w:bCs/>
          <w:sz w:val="28"/>
          <w:szCs w:val="28"/>
        </w:rPr>
        <w:t>万亩，占该区域耕地总面积的</w:t>
      </w:r>
      <w:r>
        <w:rPr>
          <w:rFonts w:ascii="仿宋" w:hAnsi="仿宋" w:eastAsia="仿宋" w:cs="Times New Roman"/>
          <w:bCs/>
          <w:sz w:val="28"/>
          <w:szCs w:val="28"/>
        </w:rPr>
        <w:t>15</w:t>
      </w:r>
      <w:r>
        <w:rPr>
          <w:rFonts w:hint="eastAsia" w:ascii="仿宋" w:hAnsi="仿宋" w:eastAsia="仿宋" w:cs="Times New Roman"/>
          <w:bCs/>
          <w:sz w:val="28"/>
          <w:szCs w:val="28"/>
        </w:rPr>
        <w:t>%；坡度≤2°的耕地面积为0.</w:t>
      </w:r>
      <w:r>
        <w:rPr>
          <w:rFonts w:ascii="仿宋" w:hAnsi="仿宋" w:eastAsia="仿宋" w:cs="Times New Roman"/>
          <w:bCs/>
          <w:sz w:val="28"/>
          <w:szCs w:val="28"/>
        </w:rPr>
        <w:t>59</w:t>
      </w:r>
      <w:r>
        <w:rPr>
          <w:rFonts w:hint="eastAsia" w:ascii="仿宋" w:hAnsi="仿宋" w:eastAsia="仿宋" w:cs="Times New Roman"/>
          <w:bCs/>
          <w:sz w:val="28"/>
          <w:szCs w:val="28"/>
        </w:rPr>
        <w:t>万亩，占耕地总面积的1</w:t>
      </w:r>
      <w:r>
        <w:rPr>
          <w:rFonts w:ascii="仿宋" w:hAnsi="仿宋" w:eastAsia="仿宋" w:cs="Times New Roman"/>
          <w:bCs/>
          <w:sz w:val="28"/>
          <w:szCs w:val="28"/>
        </w:rPr>
        <w:t>6</w:t>
      </w:r>
      <w:r>
        <w:rPr>
          <w:rFonts w:hint="eastAsia" w:ascii="仿宋" w:hAnsi="仿宋" w:eastAsia="仿宋" w:cs="Times New Roman"/>
          <w:bCs/>
          <w:sz w:val="28"/>
          <w:szCs w:val="28"/>
        </w:rPr>
        <w:t>%；坡度为2°～6°的耕地面积为0.</w:t>
      </w:r>
      <w:r>
        <w:rPr>
          <w:rFonts w:ascii="仿宋" w:hAnsi="仿宋" w:eastAsia="仿宋" w:cs="Times New Roman"/>
          <w:bCs/>
          <w:sz w:val="28"/>
          <w:szCs w:val="28"/>
        </w:rPr>
        <w:t>36</w:t>
      </w:r>
      <w:r>
        <w:rPr>
          <w:rFonts w:hint="eastAsia" w:ascii="仿宋" w:hAnsi="仿宋" w:eastAsia="仿宋" w:cs="Times New Roman"/>
          <w:bCs/>
          <w:sz w:val="28"/>
          <w:szCs w:val="28"/>
        </w:rPr>
        <w:t>万亩，占耕地总面积的</w:t>
      </w:r>
      <w:r>
        <w:rPr>
          <w:rFonts w:ascii="仿宋" w:hAnsi="仿宋" w:eastAsia="仿宋" w:cs="Times New Roman"/>
          <w:bCs/>
          <w:sz w:val="28"/>
          <w:szCs w:val="28"/>
        </w:rPr>
        <w:t>10</w:t>
      </w:r>
      <w:r>
        <w:rPr>
          <w:rFonts w:hint="eastAsia" w:ascii="仿宋" w:hAnsi="仿宋" w:eastAsia="仿宋" w:cs="Times New Roman"/>
          <w:bCs/>
          <w:sz w:val="28"/>
          <w:szCs w:val="28"/>
        </w:rPr>
        <w:t>%；坡度为6°～15°的耕地面积为0.</w:t>
      </w:r>
      <w:r>
        <w:rPr>
          <w:rFonts w:ascii="仿宋" w:hAnsi="仿宋" w:eastAsia="仿宋" w:cs="Times New Roman"/>
          <w:bCs/>
          <w:sz w:val="28"/>
          <w:szCs w:val="28"/>
        </w:rPr>
        <w:t>76</w:t>
      </w:r>
      <w:r>
        <w:rPr>
          <w:rFonts w:hint="eastAsia" w:ascii="仿宋" w:hAnsi="仿宋" w:eastAsia="仿宋" w:cs="Times New Roman"/>
          <w:bCs/>
          <w:sz w:val="28"/>
          <w:szCs w:val="28"/>
        </w:rPr>
        <w:t>万亩，占耕地总面积的</w:t>
      </w:r>
      <w:r>
        <w:rPr>
          <w:rFonts w:ascii="仿宋" w:hAnsi="仿宋" w:eastAsia="仿宋" w:cs="Times New Roman"/>
          <w:bCs/>
          <w:sz w:val="28"/>
          <w:szCs w:val="28"/>
        </w:rPr>
        <w:t>20</w:t>
      </w:r>
      <w:r>
        <w:rPr>
          <w:rFonts w:hint="eastAsia" w:ascii="仿宋" w:hAnsi="仿宋" w:eastAsia="仿宋" w:cs="Times New Roman"/>
          <w:bCs/>
          <w:sz w:val="28"/>
          <w:szCs w:val="28"/>
        </w:rPr>
        <w:t>%，坡度≥15°的耕地面积为2.</w:t>
      </w:r>
      <w:r>
        <w:rPr>
          <w:rFonts w:ascii="仿宋" w:hAnsi="仿宋" w:eastAsia="仿宋" w:cs="Times New Roman"/>
          <w:bCs/>
          <w:sz w:val="28"/>
          <w:szCs w:val="28"/>
        </w:rPr>
        <w:t>06</w:t>
      </w:r>
      <w:r>
        <w:rPr>
          <w:rFonts w:hint="eastAsia" w:ascii="仿宋" w:hAnsi="仿宋" w:eastAsia="仿宋" w:cs="Times New Roman"/>
          <w:bCs/>
          <w:sz w:val="28"/>
          <w:szCs w:val="28"/>
        </w:rPr>
        <w:t>万亩，占耕地总面积的</w:t>
      </w:r>
      <w:r>
        <w:rPr>
          <w:rFonts w:ascii="仿宋" w:hAnsi="仿宋" w:eastAsia="仿宋" w:cs="Times New Roman"/>
          <w:bCs/>
          <w:sz w:val="28"/>
          <w:szCs w:val="28"/>
        </w:rPr>
        <w:t>54</w:t>
      </w:r>
      <w:r>
        <w:rPr>
          <w:rFonts w:hint="eastAsia" w:ascii="仿宋" w:hAnsi="仿宋" w:eastAsia="仿宋" w:cs="Times New Roman"/>
          <w:bCs/>
          <w:sz w:val="28"/>
          <w:szCs w:val="28"/>
        </w:rPr>
        <w:t>%。</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3、本区高标准农田建设需要着力解决的主要问题</w:t>
      </w:r>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高标准农田建设需重点关注防灾抗灾问题，该区域丘陵山地相间分布，地势起伏较大，沟壑纵横，机耕路建设、引水灌溉、防灾抗灾问题需着力解决。</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4、高标准农田建设潜力分析</w:t>
      </w:r>
    </w:p>
    <w:p>
      <w:pPr>
        <w:kinsoku w:val="0"/>
        <w:overflowPunct w:val="0"/>
        <w:autoSpaceDE w:val="0"/>
        <w:autoSpaceDN w:val="0"/>
        <w:adjustRightInd w:val="0"/>
        <w:spacing w:before="136" w:after="2"/>
        <w:jc w:val="center"/>
        <w:rPr>
          <w:rFonts w:ascii="仿宋" w:hAnsi="仿宋" w:eastAsia="仿宋" w:cs="仿宋"/>
          <w:bCs/>
          <w:kern w:val="0"/>
          <w:sz w:val="24"/>
          <w:szCs w:val="24"/>
        </w:rPr>
      </w:pPr>
      <w:r>
        <w:rPr>
          <w:rFonts w:hint="eastAsia" w:ascii="仿宋" w:hAnsi="仿宋" w:eastAsia="仿宋" w:cs="仿宋"/>
          <w:bCs/>
          <w:kern w:val="0"/>
          <w:sz w:val="24"/>
          <w:szCs w:val="24"/>
        </w:rPr>
        <w:t>表</w:t>
      </w:r>
      <w:r>
        <w:rPr>
          <w:rFonts w:ascii="仿宋" w:hAnsi="仿宋" w:eastAsia="仿宋" w:cs="Times New Roman"/>
          <w:bCs/>
          <w:kern w:val="0"/>
          <w:sz w:val="24"/>
          <w:szCs w:val="24"/>
        </w:rPr>
        <w:t>3-7</w:t>
      </w:r>
      <w:r>
        <w:rPr>
          <w:rFonts w:hint="eastAsia" w:ascii="仿宋" w:hAnsi="仿宋" w:eastAsia="仿宋" w:cs="仿宋"/>
          <w:bCs/>
          <w:kern w:val="0"/>
          <w:sz w:val="24"/>
          <w:szCs w:val="24"/>
        </w:rPr>
        <w:t>中部河谷农区高标准农田建设</w:t>
      </w:r>
      <w:r>
        <w:rPr>
          <w:rFonts w:hint="eastAsia" w:ascii="仿宋" w:hAnsi="仿宋" w:eastAsia="仿宋" w:cs="Times New Roman"/>
          <w:bCs/>
          <w:sz w:val="24"/>
          <w:szCs w:val="28"/>
        </w:rPr>
        <w:t>可实现</w:t>
      </w:r>
      <w:r>
        <w:rPr>
          <w:rFonts w:hint="eastAsia" w:ascii="仿宋" w:hAnsi="仿宋" w:eastAsia="仿宋" w:cs="仿宋"/>
          <w:bCs/>
          <w:kern w:val="0"/>
          <w:sz w:val="24"/>
          <w:szCs w:val="24"/>
        </w:rPr>
        <w:t>潜力分析表</w:t>
      </w:r>
    </w:p>
    <w:p>
      <w:pPr>
        <w:kinsoku w:val="0"/>
        <w:overflowPunct w:val="0"/>
        <w:autoSpaceDE w:val="0"/>
        <w:autoSpaceDN w:val="0"/>
        <w:adjustRightInd w:val="0"/>
        <w:spacing w:before="5" w:after="2"/>
        <w:ind w:right="178"/>
        <w:jc w:val="right"/>
        <w:rPr>
          <w:rFonts w:ascii="仿宋" w:hAnsi="仿宋" w:eastAsia="仿宋" w:cs="仿宋"/>
          <w:bCs/>
          <w:kern w:val="0"/>
          <w:sz w:val="24"/>
          <w:szCs w:val="24"/>
        </w:rPr>
      </w:pPr>
      <w:r>
        <w:rPr>
          <w:rFonts w:ascii="仿宋" w:hAnsi="仿宋" w:eastAsia="仿宋" w:cs="仿宋"/>
          <w:bCs/>
          <w:kern w:val="0"/>
          <w:sz w:val="24"/>
          <w:szCs w:val="24"/>
        </w:rPr>
        <w:t xml:space="preserve">  </w:t>
      </w:r>
      <w:r>
        <w:rPr>
          <w:rFonts w:hint="eastAsia" w:ascii="仿宋" w:hAnsi="仿宋" w:eastAsia="仿宋" w:cs="仿宋"/>
          <w:bCs/>
          <w:kern w:val="0"/>
          <w:sz w:val="24"/>
          <w:szCs w:val="24"/>
        </w:rPr>
        <w:t>单位：亩</w:t>
      </w:r>
    </w:p>
    <w:tbl>
      <w:tblPr>
        <w:tblStyle w:val="85"/>
        <w:tblW w:w="5000" w:type="pct"/>
        <w:tblInd w:w="0" w:type="dxa"/>
        <w:tblLayout w:type="autofit"/>
        <w:tblCellMar>
          <w:top w:w="0" w:type="dxa"/>
          <w:left w:w="108" w:type="dxa"/>
          <w:bottom w:w="0" w:type="dxa"/>
          <w:right w:w="108" w:type="dxa"/>
        </w:tblCellMar>
      </w:tblPr>
      <w:tblGrid>
        <w:gridCol w:w="1704"/>
        <w:gridCol w:w="1704"/>
        <w:gridCol w:w="1704"/>
        <w:gridCol w:w="1705"/>
        <w:gridCol w:w="1705"/>
      </w:tblGrid>
      <w:tr>
        <w:tblPrEx>
          <w:tblCellMar>
            <w:top w:w="0" w:type="dxa"/>
            <w:left w:w="108" w:type="dxa"/>
            <w:bottom w:w="0" w:type="dxa"/>
            <w:right w:w="108" w:type="dxa"/>
          </w:tblCellMar>
        </w:tblPrEx>
        <w:trPr>
          <w:trHeight w:val="285" w:hRule="atLeast"/>
        </w:trPr>
        <w:tc>
          <w:tcPr>
            <w:tcW w:w="100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耕地</w:t>
            </w:r>
          </w:p>
        </w:tc>
        <w:tc>
          <w:tcPr>
            <w:tcW w:w="100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已建设高标准农田</w:t>
            </w:r>
          </w:p>
        </w:tc>
        <w:tc>
          <w:tcPr>
            <w:tcW w:w="3000" w:type="pct"/>
            <w:gridSpan w:val="3"/>
            <w:tcBorders>
              <w:top w:val="single" w:color="auto" w:sz="4" w:space="0"/>
              <w:left w:val="nil"/>
              <w:bottom w:val="single" w:color="auto" w:sz="4" w:space="0"/>
              <w:right w:val="single" w:color="auto" w:sz="4" w:space="0"/>
            </w:tcBorders>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潜力情况</w:t>
            </w:r>
          </w:p>
        </w:tc>
      </w:tr>
      <w:tr>
        <w:tblPrEx>
          <w:tblCellMar>
            <w:top w:w="0" w:type="dxa"/>
            <w:left w:w="108" w:type="dxa"/>
            <w:bottom w:w="0" w:type="dxa"/>
            <w:right w:w="108" w:type="dxa"/>
          </w:tblCellMar>
        </w:tblPrEx>
        <w:trPr>
          <w:trHeight w:val="540" w:hRule="atLeast"/>
        </w:trPr>
        <w:tc>
          <w:tcPr>
            <w:tcW w:w="100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Cs/>
                <w:color w:val="000000"/>
                <w:kern w:val="0"/>
                <w:sz w:val="22"/>
              </w:rPr>
            </w:pPr>
          </w:p>
        </w:tc>
        <w:tc>
          <w:tcPr>
            <w:tcW w:w="100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Cs/>
                <w:color w:val="000000"/>
                <w:kern w:val="0"/>
                <w:sz w:val="22"/>
              </w:rPr>
            </w:pPr>
          </w:p>
        </w:tc>
        <w:tc>
          <w:tcPr>
            <w:tcW w:w="1000"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提质改造</w:t>
            </w:r>
          </w:p>
        </w:tc>
        <w:tc>
          <w:tcPr>
            <w:tcW w:w="1000"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宜机化改造</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高效节水灌溉</w:t>
            </w:r>
          </w:p>
        </w:tc>
      </w:tr>
      <w:tr>
        <w:tblPrEx>
          <w:tblCellMar>
            <w:top w:w="0" w:type="dxa"/>
            <w:left w:w="108" w:type="dxa"/>
            <w:bottom w:w="0" w:type="dxa"/>
            <w:right w:w="108" w:type="dxa"/>
          </w:tblCellMar>
        </w:tblPrEx>
        <w:trPr>
          <w:trHeight w:val="613" w:hRule="atLeast"/>
        </w:trPr>
        <w:tc>
          <w:tcPr>
            <w:tcW w:w="100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37936</w:t>
            </w:r>
          </w:p>
        </w:tc>
        <w:tc>
          <w:tcPr>
            <w:tcW w:w="1000"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22857</w:t>
            </w:r>
          </w:p>
        </w:tc>
        <w:tc>
          <w:tcPr>
            <w:tcW w:w="1000"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2034 </w:t>
            </w:r>
          </w:p>
        </w:tc>
        <w:tc>
          <w:tcPr>
            <w:tcW w:w="1000"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735 </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275</w:t>
            </w:r>
          </w:p>
        </w:tc>
      </w:tr>
    </w:tbl>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（三）南部梯田农区</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1、区域范围</w:t>
      </w:r>
    </w:p>
    <w:p>
      <w:pPr>
        <w:ind w:firstLine="555"/>
        <w:rPr>
          <w:rFonts w:ascii="仿宋" w:hAnsi="仿宋" w:eastAsia="仿宋" w:cs="Times New Roman"/>
          <w:bCs/>
          <w:sz w:val="28"/>
          <w:szCs w:val="28"/>
        </w:rPr>
      </w:pPr>
      <w:r>
        <w:rPr>
          <w:rFonts w:hint="eastAsia" w:ascii="仿宋" w:hAnsi="仿宋" w:eastAsia="仿宋" w:cs="Times New Roman"/>
          <w:bCs/>
          <w:sz w:val="28"/>
          <w:szCs w:val="28"/>
        </w:rPr>
        <w:t>南部梯田农区主要位于崇头镇。该区域耕地占全县耕地比重达3</w:t>
      </w:r>
      <w:r>
        <w:rPr>
          <w:rFonts w:ascii="仿宋" w:hAnsi="仿宋" w:eastAsia="仿宋" w:cs="Times New Roman"/>
          <w:bCs/>
          <w:sz w:val="28"/>
          <w:szCs w:val="28"/>
        </w:rPr>
        <w:t>8</w:t>
      </w:r>
      <w:r>
        <w:rPr>
          <w:rFonts w:hint="eastAsia" w:ascii="仿宋" w:hAnsi="仿宋" w:eastAsia="仿宋" w:cs="Times New Roman"/>
          <w:bCs/>
          <w:sz w:val="28"/>
          <w:szCs w:val="28"/>
        </w:rPr>
        <w:t>%，已建高标准农田占全县5</w:t>
      </w:r>
      <w:r>
        <w:rPr>
          <w:rFonts w:ascii="仿宋" w:hAnsi="仿宋" w:eastAsia="仿宋" w:cs="Times New Roman"/>
          <w:bCs/>
          <w:sz w:val="28"/>
          <w:szCs w:val="28"/>
        </w:rPr>
        <w:t>0</w:t>
      </w:r>
      <w:r>
        <w:rPr>
          <w:rFonts w:hint="eastAsia" w:ascii="仿宋" w:hAnsi="仿宋" w:eastAsia="仿宋" w:cs="Times New Roman"/>
          <w:bCs/>
          <w:sz w:val="28"/>
          <w:szCs w:val="28"/>
        </w:rPr>
        <w:t>%，建设潜力巨大。</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2、耕地特征</w:t>
      </w:r>
    </w:p>
    <w:p>
      <w:pPr>
        <w:ind w:firstLine="555"/>
        <w:rPr>
          <w:rFonts w:ascii="仿宋" w:hAnsi="仿宋" w:eastAsia="仿宋" w:cs="Times New Roman"/>
          <w:bCs/>
          <w:sz w:val="28"/>
          <w:szCs w:val="28"/>
        </w:rPr>
      </w:pPr>
      <w:r>
        <w:rPr>
          <w:rFonts w:hint="eastAsia" w:ascii="仿宋" w:hAnsi="仿宋" w:eastAsia="仿宋" w:cs="Times New Roman"/>
          <w:bCs/>
          <w:sz w:val="28"/>
          <w:szCs w:val="28"/>
        </w:rPr>
        <w:t>区域耕地面积</w:t>
      </w:r>
      <w:r>
        <w:rPr>
          <w:rFonts w:ascii="仿宋" w:hAnsi="仿宋" w:eastAsia="仿宋" w:cs="Times New Roman"/>
          <w:bCs/>
          <w:sz w:val="28"/>
          <w:szCs w:val="28"/>
        </w:rPr>
        <w:t>3.98</w:t>
      </w:r>
      <w:r>
        <w:rPr>
          <w:rFonts w:hint="eastAsia" w:ascii="仿宋" w:hAnsi="仿宋" w:eastAsia="仿宋" w:cs="Times New Roman"/>
          <w:bCs/>
          <w:sz w:val="28"/>
          <w:szCs w:val="28"/>
        </w:rPr>
        <w:t>万亩，其中水田</w:t>
      </w:r>
      <w:r>
        <w:rPr>
          <w:rFonts w:ascii="仿宋" w:hAnsi="仿宋" w:eastAsia="仿宋" w:cs="Times New Roman"/>
          <w:bCs/>
          <w:sz w:val="28"/>
          <w:szCs w:val="28"/>
        </w:rPr>
        <w:t>3.66</w:t>
      </w:r>
      <w:r>
        <w:rPr>
          <w:rFonts w:hint="eastAsia" w:ascii="仿宋" w:hAnsi="仿宋" w:eastAsia="仿宋" w:cs="Times New Roman"/>
          <w:bCs/>
          <w:sz w:val="28"/>
          <w:szCs w:val="28"/>
        </w:rPr>
        <w:t>万亩，占该区域耕地总面积的9</w:t>
      </w:r>
      <w:r>
        <w:rPr>
          <w:rFonts w:ascii="仿宋" w:hAnsi="仿宋" w:eastAsia="仿宋" w:cs="Times New Roman"/>
          <w:bCs/>
          <w:sz w:val="28"/>
          <w:szCs w:val="28"/>
        </w:rPr>
        <w:t>2</w:t>
      </w:r>
      <w:r>
        <w:rPr>
          <w:rFonts w:hint="eastAsia" w:ascii="仿宋" w:hAnsi="仿宋" w:eastAsia="仿宋" w:cs="Times New Roman"/>
          <w:bCs/>
          <w:sz w:val="28"/>
          <w:szCs w:val="28"/>
        </w:rPr>
        <w:t>%；旱地0.</w:t>
      </w:r>
      <w:r>
        <w:rPr>
          <w:rFonts w:ascii="仿宋" w:hAnsi="仿宋" w:eastAsia="仿宋" w:cs="Times New Roman"/>
          <w:bCs/>
          <w:sz w:val="28"/>
          <w:szCs w:val="28"/>
        </w:rPr>
        <w:t>32</w:t>
      </w:r>
      <w:r>
        <w:rPr>
          <w:rFonts w:hint="eastAsia" w:ascii="仿宋" w:hAnsi="仿宋" w:eastAsia="仿宋" w:cs="Times New Roman"/>
          <w:bCs/>
          <w:sz w:val="28"/>
          <w:szCs w:val="28"/>
        </w:rPr>
        <w:t>万亩，占该区域耕地总面积的8%；坡度≤6°的耕地面积为0.04万亩，占该区域耕地总面积的</w:t>
      </w:r>
      <w:r>
        <w:rPr>
          <w:rFonts w:ascii="仿宋" w:hAnsi="仿宋" w:eastAsia="仿宋" w:cs="Times New Roman"/>
          <w:bCs/>
          <w:sz w:val="28"/>
          <w:szCs w:val="28"/>
        </w:rPr>
        <w:t>1</w:t>
      </w:r>
      <w:r>
        <w:rPr>
          <w:rFonts w:hint="eastAsia" w:ascii="仿宋" w:hAnsi="仿宋" w:eastAsia="仿宋" w:cs="Times New Roman"/>
          <w:bCs/>
          <w:sz w:val="28"/>
          <w:szCs w:val="28"/>
        </w:rPr>
        <w:t>%；坡度为6°～15°的耕地面积为0.</w:t>
      </w:r>
      <w:r>
        <w:rPr>
          <w:rFonts w:ascii="仿宋" w:hAnsi="仿宋" w:eastAsia="仿宋" w:cs="Times New Roman"/>
          <w:bCs/>
          <w:sz w:val="28"/>
          <w:szCs w:val="28"/>
        </w:rPr>
        <w:t>79</w:t>
      </w:r>
      <w:r>
        <w:rPr>
          <w:rFonts w:hint="eastAsia" w:ascii="仿宋" w:hAnsi="仿宋" w:eastAsia="仿宋" w:cs="Times New Roman"/>
          <w:bCs/>
          <w:sz w:val="28"/>
          <w:szCs w:val="28"/>
        </w:rPr>
        <w:t>万亩，占该区域耕地总面积的</w:t>
      </w:r>
      <w:r>
        <w:rPr>
          <w:rFonts w:ascii="仿宋" w:hAnsi="仿宋" w:eastAsia="仿宋" w:cs="Times New Roman"/>
          <w:bCs/>
          <w:sz w:val="28"/>
          <w:szCs w:val="28"/>
        </w:rPr>
        <w:t>20</w:t>
      </w:r>
      <w:r>
        <w:rPr>
          <w:rFonts w:hint="eastAsia" w:ascii="仿宋" w:hAnsi="仿宋" w:eastAsia="仿宋" w:cs="Times New Roman"/>
          <w:bCs/>
          <w:sz w:val="28"/>
          <w:szCs w:val="28"/>
        </w:rPr>
        <w:t>%，坡度≥15°的耕地面积为</w:t>
      </w:r>
      <w:r>
        <w:rPr>
          <w:rFonts w:ascii="仿宋" w:hAnsi="仿宋" w:eastAsia="仿宋" w:cs="Times New Roman"/>
          <w:bCs/>
          <w:sz w:val="28"/>
          <w:szCs w:val="28"/>
        </w:rPr>
        <w:t>3.14</w:t>
      </w:r>
      <w:r>
        <w:rPr>
          <w:rFonts w:hint="eastAsia" w:ascii="仿宋" w:hAnsi="仿宋" w:eastAsia="仿宋" w:cs="Times New Roman"/>
          <w:bCs/>
          <w:sz w:val="28"/>
          <w:szCs w:val="28"/>
        </w:rPr>
        <w:t>万亩，占该区域耕地总面积的</w:t>
      </w:r>
      <w:r>
        <w:rPr>
          <w:rFonts w:ascii="仿宋" w:hAnsi="仿宋" w:eastAsia="仿宋" w:cs="Times New Roman"/>
          <w:bCs/>
          <w:sz w:val="28"/>
          <w:szCs w:val="28"/>
        </w:rPr>
        <w:t>79</w:t>
      </w:r>
      <w:r>
        <w:rPr>
          <w:rFonts w:hint="eastAsia" w:ascii="仿宋" w:hAnsi="仿宋" w:eastAsia="仿宋" w:cs="Times New Roman"/>
          <w:bCs/>
          <w:sz w:val="28"/>
          <w:szCs w:val="28"/>
        </w:rPr>
        <w:t>%。</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3、本区高标准农田建设需要着力解决的主要问题</w:t>
      </w:r>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高标准农田建设需重点关注农田水利以及土地平整问题，该区域丘陵山川相间分布，地势起伏较大，土地平整、机耕路建设、引水灌溉问题需着力解决。</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4、高标准农田建设潜力分析</w:t>
      </w:r>
    </w:p>
    <w:p>
      <w:pPr>
        <w:kinsoku w:val="0"/>
        <w:overflowPunct w:val="0"/>
        <w:autoSpaceDE w:val="0"/>
        <w:autoSpaceDN w:val="0"/>
        <w:adjustRightInd w:val="0"/>
        <w:spacing w:before="136"/>
        <w:jc w:val="center"/>
        <w:rPr>
          <w:rFonts w:ascii="仿宋" w:hAnsi="仿宋" w:eastAsia="仿宋" w:cs="仿宋"/>
          <w:bCs/>
          <w:kern w:val="0"/>
          <w:sz w:val="24"/>
          <w:szCs w:val="24"/>
        </w:rPr>
      </w:pPr>
      <w:r>
        <w:rPr>
          <w:rFonts w:hint="eastAsia" w:ascii="仿宋" w:hAnsi="仿宋" w:eastAsia="仿宋" w:cs="仿宋"/>
          <w:bCs/>
          <w:kern w:val="0"/>
          <w:sz w:val="24"/>
          <w:szCs w:val="24"/>
        </w:rPr>
        <w:t>表</w:t>
      </w:r>
      <w:r>
        <w:rPr>
          <w:rFonts w:ascii="仿宋" w:hAnsi="仿宋" w:eastAsia="仿宋" w:cs="Times New Roman"/>
          <w:bCs/>
          <w:kern w:val="0"/>
          <w:sz w:val="24"/>
          <w:szCs w:val="24"/>
        </w:rPr>
        <w:t>3-8</w:t>
      </w:r>
      <w:r>
        <w:rPr>
          <w:rFonts w:hint="eastAsia" w:ascii="仿宋" w:hAnsi="仿宋" w:eastAsia="仿宋" w:cs="仿宋"/>
          <w:bCs/>
          <w:kern w:val="0"/>
          <w:sz w:val="24"/>
          <w:szCs w:val="24"/>
        </w:rPr>
        <w:t>南部梯田农区高标准农田建设</w:t>
      </w:r>
      <w:r>
        <w:rPr>
          <w:rFonts w:hint="eastAsia" w:ascii="仿宋" w:hAnsi="仿宋" w:eastAsia="仿宋" w:cs="Times New Roman"/>
          <w:bCs/>
          <w:sz w:val="24"/>
          <w:szCs w:val="28"/>
        </w:rPr>
        <w:t>可实现</w:t>
      </w:r>
      <w:r>
        <w:rPr>
          <w:rFonts w:hint="eastAsia" w:ascii="仿宋" w:hAnsi="仿宋" w:eastAsia="仿宋" w:cs="仿宋"/>
          <w:bCs/>
          <w:kern w:val="0"/>
          <w:sz w:val="24"/>
          <w:szCs w:val="24"/>
        </w:rPr>
        <w:t>潜力分析表</w:t>
      </w:r>
    </w:p>
    <w:p>
      <w:pPr>
        <w:kinsoku w:val="0"/>
        <w:overflowPunct w:val="0"/>
        <w:autoSpaceDE w:val="0"/>
        <w:autoSpaceDN w:val="0"/>
        <w:adjustRightInd w:val="0"/>
        <w:spacing w:before="5" w:after="2"/>
        <w:ind w:right="178"/>
        <w:jc w:val="right"/>
        <w:rPr>
          <w:rFonts w:ascii="仿宋" w:hAnsi="仿宋" w:eastAsia="仿宋" w:cs="仿宋"/>
          <w:bCs/>
          <w:kern w:val="0"/>
          <w:sz w:val="24"/>
          <w:szCs w:val="24"/>
        </w:rPr>
      </w:pPr>
      <w:r>
        <w:rPr>
          <w:rFonts w:ascii="仿宋" w:hAnsi="仿宋" w:eastAsia="仿宋" w:cs="仿宋"/>
          <w:bCs/>
          <w:kern w:val="0"/>
          <w:sz w:val="24"/>
          <w:szCs w:val="24"/>
        </w:rPr>
        <w:t xml:space="preserve">  </w:t>
      </w:r>
      <w:r>
        <w:rPr>
          <w:rFonts w:hint="eastAsia" w:ascii="仿宋" w:hAnsi="仿宋" w:eastAsia="仿宋" w:cs="仿宋"/>
          <w:bCs/>
          <w:kern w:val="0"/>
          <w:sz w:val="24"/>
          <w:szCs w:val="24"/>
        </w:rPr>
        <w:t>单位：亩</w:t>
      </w:r>
    </w:p>
    <w:tbl>
      <w:tblPr>
        <w:tblStyle w:val="85"/>
        <w:tblW w:w="5000" w:type="pct"/>
        <w:tblInd w:w="0" w:type="dxa"/>
        <w:tblLayout w:type="autofit"/>
        <w:tblCellMar>
          <w:top w:w="0" w:type="dxa"/>
          <w:left w:w="108" w:type="dxa"/>
          <w:bottom w:w="0" w:type="dxa"/>
          <w:right w:w="108" w:type="dxa"/>
        </w:tblCellMar>
      </w:tblPr>
      <w:tblGrid>
        <w:gridCol w:w="1421"/>
        <w:gridCol w:w="1420"/>
        <w:gridCol w:w="1669"/>
        <w:gridCol w:w="2038"/>
        <w:gridCol w:w="1974"/>
      </w:tblGrid>
      <w:tr>
        <w:tblPrEx>
          <w:tblCellMar>
            <w:top w:w="0" w:type="dxa"/>
            <w:left w:w="108" w:type="dxa"/>
            <w:bottom w:w="0" w:type="dxa"/>
            <w:right w:w="108" w:type="dxa"/>
          </w:tblCellMar>
        </w:tblPrEx>
        <w:trPr>
          <w:trHeight w:val="285" w:hRule="atLeast"/>
        </w:trPr>
        <w:tc>
          <w:tcPr>
            <w:tcW w:w="8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耕地</w:t>
            </w:r>
          </w:p>
        </w:tc>
        <w:tc>
          <w:tcPr>
            <w:tcW w:w="8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已建设高标准农田</w:t>
            </w:r>
          </w:p>
        </w:tc>
        <w:tc>
          <w:tcPr>
            <w:tcW w:w="3333"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潜力情况</w:t>
            </w:r>
          </w:p>
        </w:tc>
      </w:tr>
      <w:tr>
        <w:tblPrEx>
          <w:tblCellMar>
            <w:top w:w="0" w:type="dxa"/>
            <w:left w:w="108" w:type="dxa"/>
            <w:bottom w:w="0" w:type="dxa"/>
            <w:right w:w="108" w:type="dxa"/>
          </w:tblCellMar>
        </w:tblPrEx>
        <w:trPr>
          <w:trHeight w:val="540" w:hRule="atLeast"/>
        </w:trPr>
        <w:tc>
          <w:tcPr>
            <w:tcW w:w="83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Cs/>
                <w:color w:val="000000"/>
                <w:kern w:val="0"/>
                <w:sz w:val="22"/>
              </w:rPr>
            </w:pPr>
          </w:p>
        </w:tc>
        <w:tc>
          <w:tcPr>
            <w:tcW w:w="833"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Cs/>
                <w:color w:val="000000"/>
                <w:kern w:val="0"/>
                <w:sz w:val="22"/>
              </w:rPr>
            </w:pPr>
          </w:p>
        </w:tc>
        <w:tc>
          <w:tcPr>
            <w:tcW w:w="97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提质改造</w:t>
            </w:r>
          </w:p>
        </w:tc>
        <w:tc>
          <w:tcPr>
            <w:tcW w:w="1196"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绿色农田建设</w:t>
            </w:r>
          </w:p>
        </w:tc>
        <w:tc>
          <w:tcPr>
            <w:tcW w:w="115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宜机化改造</w:t>
            </w:r>
          </w:p>
        </w:tc>
      </w:tr>
      <w:tr>
        <w:tblPrEx>
          <w:tblCellMar>
            <w:top w:w="0" w:type="dxa"/>
            <w:left w:w="108" w:type="dxa"/>
            <w:bottom w:w="0" w:type="dxa"/>
            <w:right w:w="108" w:type="dxa"/>
          </w:tblCellMar>
        </w:tblPrEx>
        <w:trPr>
          <w:trHeight w:val="613" w:hRule="atLeast"/>
        </w:trPr>
        <w:tc>
          <w:tcPr>
            <w:tcW w:w="834"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39645</w:t>
            </w:r>
          </w:p>
        </w:tc>
        <w:tc>
          <w:tcPr>
            <w:tcW w:w="833"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39718</w:t>
            </w:r>
          </w:p>
        </w:tc>
        <w:tc>
          <w:tcPr>
            <w:tcW w:w="979"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2321 </w:t>
            </w:r>
          </w:p>
        </w:tc>
        <w:tc>
          <w:tcPr>
            <w:tcW w:w="1196"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1083 </w:t>
            </w:r>
          </w:p>
        </w:tc>
        <w:tc>
          <w:tcPr>
            <w:tcW w:w="1158"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1193 </w:t>
            </w:r>
          </w:p>
        </w:tc>
      </w:tr>
    </w:tbl>
    <w:p>
      <w:pPr>
        <w:widowControl/>
        <w:jc w:val="left"/>
        <w:rPr>
          <w:rFonts w:ascii="仿宋" w:hAnsi="仿宋" w:eastAsia="仿宋" w:cs="Times New Roman"/>
          <w:bCs/>
          <w:color w:val="000000" w:themeColor="text1"/>
          <w:kern w:val="44"/>
          <w:sz w:val="36"/>
          <w:szCs w:val="36"/>
          <w14:textFill>
            <w14:solidFill>
              <w14:schemeClr w14:val="tx1"/>
            </w14:solidFill>
          </w14:textFill>
        </w:rPr>
      </w:pPr>
      <w:bookmarkStart w:id="30" w:name="_Toc95983078"/>
      <w:r>
        <w:rPr>
          <w:rFonts w:ascii="仿宋" w:hAnsi="仿宋" w:eastAsia="仿宋" w:cs="Times New Roman"/>
          <w:bCs/>
          <w:color w:val="000000" w:themeColor="text1"/>
          <w:kern w:val="44"/>
          <w:sz w:val="36"/>
          <w:szCs w:val="36"/>
          <w14:textFill>
            <w14:solidFill>
              <w14:schemeClr w14:val="tx1"/>
            </w14:solidFill>
          </w14:textFill>
        </w:rPr>
        <w:br w:type="page"/>
      </w:r>
    </w:p>
    <w:p>
      <w:pPr>
        <w:keepNext/>
        <w:keepLines/>
        <w:tabs>
          <w:tab w:val="left" w:pos="2700"/>
        </w:tabs>
        <w:spacing w:before="340" w:after="330" w:line="578" w:lineRule="auto"/>
        <w:jc w:val="center"/>
        <w:outlineLvl w:val="0"/>
        <w:rPr>
          <w:rFonts w:ascii="仿宋" w:hAnsi="仿宋" w:eastAsia="仿宋" w:cs="Times New Roman"/>
          <w:b/>
          <w:color w:val="000000" w:themeColor="text1"/>
          <w:kern w:val="44"/>
          <w:sz w:val="36"/>
          <w:szCs w:val="36"/>
          <w14:textFill>
            <w14:solidFill>
              <w14:schemeClr w14:val="tx1"/>
            </w14:solidFill>
          </w14:textFill>
        </w:rPr>
      </w:pPr>
      <w:bookmarkStart w:id="31" w:name="_Toc99549040"/>
      <w:r>
        <w:rPr>
          <w:rFonts w:hint="eastAsia" w:ascii="仿宋" w:hAnsi="仿宋" w:eastAsia="仿宋" w:cs="Times New Roman"/>
          <w:b/>
          <w:color w:val="000000" w:themeColor="text1"/>
          <w:kern w:val="44"/>
          <w:sz w:val="36"/>
          <w:szCs w:val="36"/>
          <w14:textFill>
            <w14:solidFill>
              <w14:schemeClr w14:val="tx1"/>
            </w14:solidFill>
          </w14:textFill>
        </w:rPr>
        <w:t xml:space="preserve">第四章 </w:t>
      </w:r>
      <w:r>
        <w:rPr>
          <w:rFonts w:ascii="仿宋" w:hAnsi="仿宋" w:eastAsia="仿宋" w:cs="Times New Roman"/>
          <w:b/>
          <w:color w:val="000000" w:themeColor="text1"/>
          <w:kern w:val="44"/>
          <w:sz w:val="36"/>
          <w:szCs w:val="36"/>
          <w14:textFill>
            <w14:solidFill>
              <w14:schemeClr w14:val="tx1"/>
            </w14:solidFill>
          </w14:textFill>
        </w:rPr>
        <w:t xml:space="preserve"> </w:t>
      </w:r>
      <w:bookmarkEnd w:id="30"/>
      <w:r>
        <w:rPr>
          <w:rFonts w:hint="eastAsia" w:ascii="仿宋" w:hAnsi="仿宋" w:eastAsia="仿宋" w:cs="Times New Roman"/>
          <w:b/>
          <w:color w:val="000000" w:themeColor="text1"/>
          <w:kern w:val="44"/>
          <w:sz w:val="36"/>
          <w:szCs w:val="36"/>
          <w14:textFill>
            <w14:solidFill>
              <w14:schemeClr w14:val="tx1"/>
            </w14:solidFill>
          </w14:textFill>
        </w:rPr>
        <w:t>建设标准与建设项目</w:t>
      </w:r>
      <w:bookmarkEnd w:id="31"/>
    </w:p>
    <w:p>
      <w:pPr>
        <w:keepNext/>
        <w:keepLines/>
        <w:spacing w:before="260" w:after="260" w:line="416" w:lineRule="auto"/>
        <w:jc w:val="left"/>
        <w:outlineLvl w:val="1"/>
        <w:rPr>
          <w:rFonts w:ascii="仿宋" w:hAnsi="仿宋" w:eastAsia="仿宋" w:cs="Times New Roman"/>
          <w:b/>
          <w:sz w:val="30"/>
          <w:szCs w:val="30"/>
        </w:rPr>
      </w:pPr>
      <w:bookmarkStart w:id="32" w:name="_Toc99549041"/>
      <w:bookmarkStart w:id="33" w:name="_Hlk97300160"/>
      <w:r>
        <w:rPr>
          <w:rFonts w:hint="eastAsia" w:ascii="仿宋" w:hAnsi="仿宋" w:eastAsia="仿宋" w:cs="Times New Roman"/>
          <w:b/>
          <w:sz w:val="30"/>
          <w:szCs w:val="30"/>
        </w:rPr>
        <w:t>一、建设标准</w:t>
      </w:r>
      <w:bookmarkEnd w:id="32"/>
    </w:p>
    <w:p>
      <w:pPr>
        <w:ind w:firstLine="555"/>
        <w:rPr>
          <w:rFonts w:ascii="仿宋" w:hAnsi="仿宋" w:eastAsia="仿宋" w:cs="Times New Roman"/>
          <w:bCs/>
          <w:sz w:val="28"/>
          <w:szCs w:val="28"/>
        </w:rPr>
      </w:pPr>
      <w:r>
        <w:rPr>
          <w:rFonts w:hint="eastAsia" w:ascii="仿宋" w:hAnsi="仿宋" w:eastAsia="仿宋" w:cs="Times New Roman"/>
          <w:bCs/>
          <w:sz w:val="28"/>
          <w:szCs w:val="28"/>
        </w:rPr>
        <w:t>按照“地平整、田成方、路相通、林成网、沟相连、渠通畅”的要求，达到“旱能灌、涝能排、渍能降、田方正、土肥沃”的标准，强化规划区基础设施建设，助推乡村振兴战略实施，改善农业生产基本条件，全力构建完善的农田配套设施，高效的农业生产格局，优质的土壤种植基础，良好的农业生态环境，为全县农村产业兴旺、生态宜居作出贡献。</w:t>
      </w:r>
    </w:p>
    <w:p>
      <w:pPr>
        <w:ind w:firstLine="555"/>
        <w:rPr>
          <w:rFonts w:ascii="仿宋" w:hAnsi="仿宋" w:eastAsia="仿宋" w:cs="Times New Roman"/>
          <w:bCs/>
          <w:sz w:val="28"/>
          <w:szCs w:val="28"/>
        </w:rPr>
      </w:pPr>
      <w:r>
        <w:rPr>
          <w:rFonts w:hint="eastAsia" w:ascii="仿宋" w:hAnsi="仿宋" w:eastAsia="仿宋" w:cs="Times New Roman"/>
          <w:bCs/>
          <w:sz w:val="28"/>
          <w:szCs w:val="28"/>
        </w:rPr>
        <w:t>（一）整治田块</w:t>
      </w:r>
    </w:p>
    <w:p>
      <w:pPr>
        <w:autoSpaceDE w:val="0"/>
        <w:autoSpaceDN w:val="0"/>
        <w:adjustRightInd w:val="0"/>
        <w:ind w:firstLine="560" w:firstLineChars="200"/>
        <w:rPr>
          <w:rFonts w:ascii="仿宋" w:hAnsi="仿宋" w:eastAsia="仿宋" w:cs="Times New Roman"/>
          <w:bCs/>
          <w:sz w:val="28"/>
          <w:szCs w:val="28"/>
        </w:rPr>
      </w:pPr>
      <w:r>
        <w:rPr>
          <w:rFonts w:ascii="仿宋" w:hAnsi="仿宋" w:eastAsia="仿宋" w:cs="Times New Roman"/>
          <w:bCs/>
          <w:sz w:val="28"/>
          <w:szCs w:val="28"/>
        </w:rPr>
        <w:t>1.</w:t>
      </w:r>
      <w:r>
        <w:rPr>
          <w:rFonts w:hint="eastAsia" w:ascii="仿宋" w:hAnsi="仿宋" w:eastAsia="仿宋" w:cs="Times New Roman"/>
          <w:bCs/>
          <w:sz w:val="28"/>
          <w:szCs w:val="28"/>
        </w:rPr>
        <w:t>建设内容。土地平整主要包括田块调整与田面平整。田块调整是将大小或形状不符合标准要求的田块进行合并或调整，以满足标准化种植、规模化经营、机械化作业、节水节能等农业科技的应用。田面平整主要是控制田块内田面高差保持在一定范围内，尽可能满足精耕细作、灌溉与排水的技术要求。</w:t>
      </w:r>
    </w:p>
    <w:p>
      <w:pPr>
        <w:autoSpaceDE w:val="0"/>
        <w:autoSpaceDN w:val="0"/>
        <w:adjustRightInd w:val="0"/>
        <w:ind w:firstLine="560" w:firstLineChars="200"/>
        <w:rPr>
          <w:rFonts w:ascii="仿宋" w:hAnsi="仿宋" w:eastAsia="仿宋" w:cs="Times New Roman"/>
          <w:bCs/>
          <w:sz w:val="28"/>
          <w:szCs w:val="28"/>
        </w:rPr>
      </w:pPr>
      <w:r>
        <w:rPr>
          <w:rFonts w:hint="eastAsia" w:ascii="仿宋" w:hAnsi="仿宋" w:eastAsia="仿宋" w:cs="Times New Roman"/>
          <w:bCs/>
          <w:sz w:val="28"/>
          <w:szCs w:val="28"/>
        </w:rPr>
        <w:t>规划期内，根据地形地貌、作物种类、机械作业效率、灌排效率和防止风害等因素综合确定田块调整形状，优化农田结构布局。合理确定田块的长度、宽度和方向，适应农业机械化、规模化需要。土地平整时，要保护耕作层土壤，同时深翻深松土地，打破障碍层，改善农田耕作层；通过建设占用耕地进行耕作层剥离再利用，增加有效土层厚度。</w:t>
      </w:r>
    </w:p>
    <w:p>
      <w:pPr>
        <w:autoSpaceDE w:val="0"/>
        <w:autoSpaceDN w:val="0"/>
        <w:adjustRightInd w:val="0"/>
        <w:ind w:firstLine="560" w:firstLineChars="200"/>
        <w:rPr>
          <w:rFonts w:ascii="仿宋" w:hAnsi="仿宋" w:eastAsia="仿宋" w:cs="Times New Roman"/>
          <w:bCs/>
          <w:sz w:val="28"/>
          <w:szCs w:val="28"/>
        </w:rPr>
      </w:pPr>
      <w:r>
        <w:rPr>
          <w:rFonts w:ascii="仿宋" w:hAnsi="仿宋" w:eastAsia="仿宋" w:cs="Times New Roman"/>
          <w:bCs/>
          <w:sz w:val="28"/>
          <w:szCs w:val="28"/>
        </w:rPr>
        <w:t>2.</w:t>
      </w:r>
      <w:r>
        <w:rPr>
          <w:rFonts w:hint="eastAsia" w:ascii="仿宋" w:hAnsi="仿宋" w:eastAsia="仿宋" w:cs="Times New Roman"/>
          <w:bCs/>
          <w:sz w:val="28"/>
          <w:szCs w:val="28"/>
        </w:rPr>
        <w:t>建设标准。耕地的农田有效土层达</w:t>
      </w:r>
      <w:r>
        <w:rPr>
          <w:rFonts w:ascii="仿宋" w:hAnsi="仿宋" w:eastAsia="仿宋" w:cs="Times New Roman"/>
          <w:bCs/>
          <w:sz w:val="28"/>
          <w:szCs w:val="28"/>
        </w:rPr>
        <w:t>50cm以上，水田耕作层厚度在20cm以上，旱地耕作层厚度在25cm以上。且土体中无明显粘盘层、砂砾层等障碍因素。一般耕地的土体厚度应在</w:t>
      </w:r>
      <w:r>
        <w:rPr>
          <w:rFonts w:hint="eastAsia" w:ascii="仿宋" w:hAnsi="仿宋" w:eastAsia="仿宋" w:cs="Times New Roman"/>
          <w:bCs/>
          <w:sz w:val="28"/>
          <w:szCs w:val="28"/>
        </w:rPr>
        <w:t>60</w:t>
      </w:r>
      <w:r>
        <w:rPr>
          <w:rFonts w:ascii="仿宋" w:hAnsi="仿宋" w:eastAsia="仿宋" w:cs="Times New Roman"/>
          <w:bCs/>
          <w:sz w:val="28"/>
          <w:szCs w:val="28"/>
        </w:rPr>
        <w:t>cm以上。山丘区及滩地的土体厚度应大于50cm，且土体中无明显粘盘层、砂砾层等障碍因素，田间基础设施占地率不超过</w:t>
      </w:r>
      <w:r>
        <w:rPr>
          <w:rFonts w:hint="eastAsia" w:ascii="仿宋" w:hAnsi="仿宋" w:eastAsia="仿宋" w:cs="Times New Roman"/>
          <w:bCs/>
          <w:sz w:val="28"/>
          <w:szCs w:val="28"/>
        </w:rPr>
        <w:t>11</w:t>
      </w:r>
      <w:r>
        <w:rPr>
          <w:rFonts w:ascii="仿宋" w:hAnsi="仿宋" w:eastAsia="仿宋" w:cs="Times New Roman"/>
          <w:bCs/>
          <w:sz w:val="28"/>
          <w:szCs w:val="28"/>
        </w:rPr>
        <w:t>%。地面坡度为6~25°的耕地应改造成梯田，山地丘陵区梯田化率不低于90%。</w:t>
      </w:r>
    </w:p>
    <w:p>
      <w:pPr>
        <w:autoSpaceDE w:val="0"/>
        <w:autoSpaceDN w:val="0"/>
        <w:adjustRightInd w:val="0"/>
        <w:ind w:firstLine="560" w:firstLineChars="200"/>
        <w:jc w:val="left"/>
        <w:rPr>
          <w:rFonts w:ascii="仿宋" w:hAnsi="仿宋" w:eastAsia="仿宋" w:cs="Times New Roman"/>
          <w:bCs/>
          <w:sz w:val="28"/>
          <w:szCs w:val="28"/>
        </w:rPr>
      </w:pPr>
      <w:r>
        <w:rPr>
          <w:rFonts w:hint="eastAsia" w:ascii="仿宋" w:hAnsi="仿宋" w:eastAsia="仿宋" w:cs="Times New Roman"/>
          <w:bCs/>
          <w:sz w:val="28"/>
          <w:szCs w:val="28"/>
        </w:rPr>
        <w:t>（二）土壤改良</w:t>
      </w:r>
    </w:p>
    <w:p>
      <w:pPr>
        <w:autoSpaceDE w:val="0"/>
        <w:autoSpaceDN w:val="0"/>
        <w:adjustRightInd w:val="0"/>
        <w:ind w:firstLine="560" w:firstLineChars="200"/>
        <w:rPr>
          <w:rFonts w:ascii="仿宋" w:hAnsi="仿宋" w:eastAsia="仿宋" w:cs="Times New Roman"/>
          <w:bCs/>
          <w:sz w:val="28"/>
          <w:szCs w:val="28"/>
        </w:rPr>
      </w:pPr>
      <w:r>
        <w:rPr>
          <w:rFonts w:ascii="仿宋" w:hAnsi="仿宋" w:eastAsia="仿宋" w:cs="Times New Roman"/>
          <w:bCs/>
          <w:sz w:val="28"/>
          <w:szCs w:val="28"/>
        </w:rPr>
        <w:t>1.</w:t>
      </w:r>
      <w:r>
        <w:rPr>
          <w:rFonts w:hint="eastAsia" w:ascii="仿宋" w:hAnsi="仿宋" w:eastAsia="仿宋" w:cs="Times New Roman"/>
          <w:bCs/>
          <w:sz w:val="28"/>
          <w:szCs w:val="28"/>
        </w:rPr>
        <w:t>建设内容。根据高标准农田建设区耕地质量状况，针对性开展土壤培肥和改良，采用农艺、生物等各类措施，加快耕地地力提升。建立维持高标准农田地力稳定和提升的长效机制，通过实施增施有机肥、秸秆还田、绿肥种植翻压还田等土壤培肥措施，促进高标准农田地力的提升，使高标准农田地力长期稳定在较高水平；实施测土配方施肥，定期监测土壤氮、磷、钾及中微量元素、有机质含量、土壤酸化等状况，适时开展因缺补缺、酸化治理以及土壤污染治理，对污染土壤应通过工程、生物、化学等方法进行修复，改善耕作层土壤理化性状，促进土壤养分平衡。</w:t>
      </w:r>
    </w:p>
    <w:p>
      <w:pPr>
        <w:ind w:firstLine="555"/>
        <w:rPr>
          <w:rFonts w:ascii="仿宋" w:hAnsi="仿宋" w:eastAsia="仿宋" w:cs="Times New Roman"/>
          <w:bCs/>
          <w:sz w:val="28"/>
          <w:szCs w:val="28"/>
        </w:rPr>
      </w:pPr>
      <w:r>
        <w:rPr>
          <w:rFonts w:ascii="仿宋" w:hAnsi="仿宋" w:eastAsia="仿宋" w:cs="Times New Roman"/>
          <w:bCs/>
          <w:sz w:val="28"/>
          <w:szCs w:val="28"/>
        </w:rPr>
        <w:t>2.</w:t>
      </w:r>
      <w:r>
        <w:rPr>
          <w:rFonts w:hint="eastAsia" w:ascii="仿宋" w:hAnsi="仿宋" w:eastAsia="仿宋" w:cs="Times New Roman"/>
          <w:bCs/>
          <w:sz w:val="28"/>
          <w:szCs w:val="28"/>
        </w:rPr>
        <w:t>建设标准。平原区土壤有机质含量达到</w:t>
      </w:r>
      <w:r>
        <w:rPr>
          <w:rFonts w:ascii="仿宋" w:hAnsi="仿宋" w:eastAsia="仿宋" w:cs="Times New Roman"/>
          <w:bCs/>
          <w:sz w:val="28"/>
          <w:szCs w:val="28"/>
        </w:rPr>
        <w:t>2</w:t>
      </w:r>
      <w:r>
        <w:rPr>
          <w:rFonts w:hint="eastAsia" w:ascii="仿宋" w:hAnsi="仿宋" w:eastAsia="仿宋" w:cs="Times New Roman"/>
          <w:bCs/>
          <w:sz w:val="28"/>
          <w:szCs w:val="28"/>
        </w:rPr>
        <w:t>5</w:t>
      </w:r>
      <w:r>
        <w:rPr>
          <w:rFonts w:ascii="仿宋" w:hAnsi="仿宋" w:eastAsia="仿宋" w:cs="Times New Roman"/>
          <w:bCs/>
          <w:sz w:val="28"/>
          <w:szCs w:val="28"/>
        </w:rPr>
        <w:t>g/kg</w:t>
      </w:r>
      <w:r>
        <w:rPr>
          <w:rFonts w:hint="eastAsia" w:ascii="仿宋" w:hAnsi="仿宋" w:eastAsia="仿宋" w:cs="Times New Roman"/>
          <w:bCs/>
          <w:sz w:val="28"/>
          <w:szCs w:val="28"/>
        </w:rPr>
        <w:t>以上，丘陵区达到20</w:t>
      </w:r>
      <w:r>
        <w:rPr>
          <w:rFonts w:ascii="仿宋" w:hAnsi="仿宋" w:eastAsia="仿宋" w:cs="Times New Roman"/>
          <w:bCs/>
          <w:sz w:val="28"/>
          <w:szCs w:val="28"/>
        </w:rPr>
        <w:t>g/kg</w:t>
      </w:r>
      <w:r>
        <w:rPr>
          <w:rFonts w:hint="eastAsia" w:ascii="仿宋" w:hAnsi="仿宋" w:eastAsia="仿宋" w:cs="Times New Roman"/>
          <w:bCs/>
          <w:sz w:val="28"/>
          <w:szCs w:val="28"/>
        </w:rPr>
        <w:t>以上，土壤养分含量相对平衡，土壤</w:t>
      </w:r>
      <w:r>
        <w:rPr>
          <w:rFonts w:ascii="仿宋" w:hAnsi="仿宋" w:eastAsia="仿宋" w:cs="Times New Roman"/>
          <w:bCs/>
          <w:sz w:val="28"/>
          <w:szCs w:val="28"/>
        </w:rPr>
        <w:t>pH</w:t>
      </w:r>
      <w:r>
        <w:rPr>
          <w:rFonts w:hint="eastAsia" w:ascii="仿宋" w:hAnsi="仿宋" w:eastAsia="仿宋" w:cs="Times New Roman"/>
          <w:bCs/>
          <w:sz w:val="28"/>
          <w:szCs w:val="28"/>
        </w:rPr>
        <w:t>值保持在</w:t>
      </w:r>
      <w:r>
        <w:rPr>
          <w:rFonts w:ascii="仿宋" w:hAnsi="仿宋" w:eastAsia="仿宋" w:cs="Times New Roman"/>
          <w:bCs/>
          <w:sz w:val="28"/>
          <w:szCs w:val="28"/>
        </w:rPr>
        <w:t>5.5</w:t>
      </w:r>
      <w:r>
        <w:rPr>
          <w:rFonts w:hint="eastAsia" w:ascii="仿宋" w:hAnsi="仿宋" w:eastAsia="仿宋" w:cs="Times New Roman"/>
          <w:bCs/>
          <w:sz w:val="28"/>
          <w:szCs w:val="28"/>
        </w:rPr>
        <w:t>～7</w:t>
      </w:r>
      <w:r>
        <w:rPr>
          <w:rFonts w:ascii="仿宋" w:hAnsi="仿宋" w:eastAsia="仿宋" w:cs="Times New Roman"/>
          <w:bCs/>
          <w:sz w:val="28"/>
          <w:szCs w:val="28"/>
        </w:rPr>
        <w:t>.5</w:t>
      </w:r>
      <w:r>
        <w:rPr>
          <w:rFonts w:hint="eastAsia" w:ascii="仿宋" w:hAnsi="仿宋" w:eastAsia="仿宋" w:cs="Times New Roman"/>
          <w:bCs/>
          <w:sz w:val="28"/>
          <w:szCs w:val="28"/>
        </w:rPr>
        <w:t>，耕地质量达到当地平均等级以上，耕作层土壤应符合国家标准</w:t>
      </w:r>
      <w:r>
        <w:rPr>
          <w:rFonts w:ascii="仿宋" w:hAnsi="仿宋" w:eastAsia="仿宋" w:cs="Times New Roman"/>
          <w:bCs/>
          <w:sz w:val="28"/>
          <w:szCs w:val="28"/>
        </w:rPr>
        <w:t>GB15618</w:t>
      </w:r>
      <w:r>
        <w:rPr>
          <w:rFonts w:hint="eastAsia" w:ascii="仿宋" w:hAnsi="仿宋" w:eastAsia="仿宋" w:cs="Times New Roman"/>
          <w:bCs/>
          <w:sz w:val="28"/>
          <w:szCs w:val="28"/>
        </w:rPr>
        <w:t>的规定。</w:t>
      </w:r>
    </w:p>
    <w:p>
      <w:pPr>
        <w:ind w:firstLine="555"/>
        <w:rPr>
          <w:rFonts w:ascii="仿宋" w:hAnsi="仿宋" w:eastAsia="仿宋" w:cs="Times New Roman"/>
          <w:bCs/>
          <w:sz w:val="28"/>
          <w:szCs w:val="28"/>
        </w:rPr>
      </w:pPr>
      <w:r>
        <w:rPr>
          <w:rFonts w:hint="eastAsia" w:ascii="仿宋" w:hAnsi="仿宋" w:eastAsia="仿宋" w:cs="Times New Roman"/>
          <w:bCs/>
          <w:sz w:val="28"/>
          <w:szCs w:val="28"/>
        </w:rPr>
        <w:t>（三）灌排设施</w:t>
      </w:r>
    </w:p>
    <w:p>
      <w:pPr>
        <w:autoSpaceDE w:val="0"/>
        <w:autoSpaceDN w:val="0"/>
        <w:adjustRightInd w:val="0"/>
        <w:ind w:firstLine="560" w:firstLineChars="200"/>
        <w:rPr>
          <w:rFonts w:ascii="仿宋" w:hAnsi="仿宋" w:eastAsia="仿宋" w:cs="Times New Roman"/>
          <w:bCs/>
          <w:sz w:val="28"/>
          <w:szCs w:val="28"/>
        </w:rPr>
      </w:pPr>
      <w:r>
        <w:rPr>
          <w:rFonts w:ascii="仿宋" w:hAnsi="仿宋" w:eastAsia="仿宋" w:cs="Times New Roman"/>
          <w:bCs/>
          <w:sz w:val="28"/>
          <w:szCs w:val="28"/>
        </w:rPr>
        <w:t>1.</w:t>
      </w:r>
      <w:r>
        <w:rPr>
          <w:rFonts w:hint="eastAsia" w:ascii="仿宋" w:hAnsi="仿宋" w:eastAsia="仿宋" w:cs="Times New Roman"/>
          <w:bCs/>
          <w:sz w:val="28"/>
          <w:szCs w:val="28"/>
        </w:rPr>
        <w:t>建设内容。按照旱、涝综合治理的要求，科学规划建设田间灌排工程，加强灌区田间灌排工程与骨干工程的衔接配套，完善农田水利基础设施，形成从水源到田间完整的灌排体系。根据灌溉规模、地形条件、田间道路、耕作方式等要求，有序实施水源、输水、喷微灌、排水、渠系建筑物、泵站等设施建设工程。合理配置各级输配水渠道，因地制宜选择渠道防渗、管道输水灌溉、喷微灌等节水灌溉形式，根据实际情况配套实用易行的计量设施，更新改造灌溉排水涵闸、泵站，疏浚改造排水沟系。</w:t>
      </w:r>
    </w:p>
    <w:p>
      <w:pPr>
        <w:autoSpaceDE w:val="0"/>
        <w:autoSpaceDN w:val="0"/>
        <w:adjustRightInd w:val="0"/>
        <w:ind w:firstLine="560" w:firstLineChars="200"/>
        <w:rPr>
          <w:rFonts w:ascii="仿宋" w:hAnsi="仿宋" w:eastAsia="仿宋" w:cs="Times New Roman"/>
          <w:bCs/>
          <w:sz w:val="28"/>
          <w:szCs w:val="28"/>
        </w:rPr>
      </w:pPr>
      <w:r>
        <w:rPr>
          <w:rFonts w:ascii="仿宋" w:hAnsi="仿宋" w:eastAsia="仿宋" w:cs="Times New Roman"/>
          <w:bCs/>
          <w:sz w:val="28"/>
          <w:szCs w:val="28"/>
        </w:rPr>
        <w:t>2.</w:t>
      </w:r>
      <w:r>
        <w:rPr>
          <w:rFonts w:hint="eastAsia" w:ascii="仿宋" w:hAnsi="仿宋" w:eastAsia="仿宋" w:cs="Times New Roman"/>
          <w:bCs/>
          <w:sz w:val="28"/>
          <w:szCs w:val="28"/>
        </w:rPr>
        <w:t>建设标准。充分利用水资源，完善灌溉体系，主灌溉渠体系采用全断面硬化，满足渠道型灌区灌溉利用系数不低于</w:t>
      </w:r>
      <w:r>
        <w:rPr>
          <w:rFonts w:ascii="仿宋" w:hAnsi="仿宋" w:eastAsia="仿宋" w:cs="Times New Roman"/>
          <w:bCs/>
          <w:sz w:val="28"/>
          <w:szCs w:val="28"/>
        </w:rPr>
        <w:t>0.7，喷灌区</w:t>
      </w:r>
      <w:r>
        <w:rPr>
          <w:rFonts w:hint="eastAsia" w:ascii="仿宋" w:hAnsi="仿宋" w:eastAsia="仿宋" w:cs="Times New Roman"/>
          <w:bCs/>
          <w:sz w:val="28"/>
          <w:szCs w:val="28"/>
        </w:rPr>
        <w:t>利用系数</w:t>
      </w:r>
      <w:r>
        <w:rPr>
          <w:rFonts w:ascii="仿宋" w:hAnsi="仿宋" w:eastAsia="仿宋" w:cs="Times New Roman"/>
          <w:bCs/>
          <w:sz w:val="28"/>
          <w:szCs w:val="28"/>
        </w:rPr>
        <w:t>不低于0.8，微灌区</w:t>
      </w:r>
      <w:r>
        <w:rPr>
          <w:rFonts w:hint="eastAsia" w:ascii="仿宋" w:hAnsi="仿宋" w:eastAsia="仿宋" w:cs="Times New Roman"/>
          <w:bCs/>
          <w:sz w:val="28"/>
          <w:szCs w:val="28"/>
        </w:rPr>
        <w:t>利用系数</w:t>
      </w:r>
      <w:r>
        <w:rPr>
          <w:rFonts w:ascii="仿宋" w:hAnsi="仿宋" w:eastAsia="仿宋" w:cs="Times New Roman"/>
          <w:bCs/>
          <w:sz w:val="28"/>
          <w:szCs w:val="28"/>
        </w:rPr>
        <w:t>不低于0.85，管道输水灌溉渠系水利用系数不低于0.90，农田灌溉设计保证率不低于80%，满足灌溉设计保证率的农田面积应不低于90%</w:t>
      </w:r>
      <w:r>
        <w:rPr>
          <w:rFonts w:hint="eastAsia" w:ascii="仿宋" w:hAnsi="仿宋" w:eastAsia="仿宋" w:cs="Times New Roman"/>
          <w:bCs/>
          <w:sz w:val="28"/>
          <w:szCs w:val="28"/>
        </w:rPr>
        <w:t>，</w:t>
      </w:r>
      <w:r>
        <w:rPr>
          <w:rFonts w:ascii="仿宋" w:hAnsi="仿宋" w:eastAsia="仿宋" w:cs="Times New Roman"/>
          <w:bCs/>
          <w:sz w:val="28"/>
          <w:szCs w:val="28"/>
        </w:rPr>
        <w:t>排渍深度达0.6m以上。</w:t>
      </w:r>
    </w:p>
    <w:p>
      <w:pPr>
        <w:ind w:firstLine="555"/>
        <w:rPr>
          <w:rFonts w:ascii="仿宋" w:hAnsi="仿宋" w:eastAsia="仿宋" w:cs="Times New Roman"/>
          <w:bCs/>
          <w:sz w:val="28"/>
          <w:szCs w:val="28"/>
        </w:rPr>
      </w:pPr>
      <w:r>
        <w:rPr>
          <w:rFonts w:hint="eastAsia" w:ascii="仿宋" w:hAnsi="仿宋" w:eastAsia="仿宋" w:cs="Times New Roman"/>
          <w:bCs/>
          <w:sz w:val="28"/>
          <w:szCs w:val="28"/>
        </w:rPr>
        <w:t>（四）道路整修</w:t>
      </w:r>
    </w:p>
    <w:p>
      <w:pPr>
        <w:autoSpaceDE w:val="0"/>
        <w:autoSpaceDN w:val="0"/>
        <w:adjustRightInd w:val="0"/>
        <w:ind w:firstLine="560" w:firstLineChars="200"/>
        <w:rPr>
          <w:rFonts w:ascii="仿宋" w:hAnsi="仿宋" w:eastAsia="仿宋" w:cs="Times New Roman"/>
          <w:bCs/>
          <w:sz w:val="28"/>
          <w:szCs w:val="28"/>
        </w:rPr>
      </w:pPr>
      <w:r>
        <w:rPr>
          <w:rFonts w:ascii="仿宋" w:hAnsi="仿宋" w:eastAsia="仿宋" w:cs="Times New Roman"/>
          <w:bCs/>
          <w:sz w:val="28"/>
          <w:szCs w:val="28"/>
        </w:rPr>
        <w:t>1.</w:t>
      </w:r>
      <w:r>
        <w:rPr>
          <w:rFonts w:hint="eastAsia" w:ascii="仿宋" w:hAnsi="仿宋" w:eastAsia="仿宋" w:cs="Times New Roman"/>
          <w:bCs/>
          <w:sz w:val="28"/>
          <w:szCs w:val="28"/>
        </w:rPr>
        <w:t>建设内容。为满足现代农业生产、农业物资运输、农业机械化和其它农业生产活动需要，在田、水、林、电、村规划基础上，合理确定田间道路密度，整修或新建田间道路，配套建设桥、涵和农机下田坡道，满足农产品运输及农业机械的通行和作业要求。</w:t>
      </w:r>
    </w:p>
    <w:p>
      <w:pPr>
        <w:ind w:firstLine="555"/>
        <w:rPr>
          <w:rFonts w:ascii="仿宋" w:hAnsi="仿宋" w:eastAsia="仿宋" w:cs="Times New Roman"/>
          <w:bCs/>
          <w:sz w:val="28"/>
          <w:szCs w:val="28"/>
        </w:rPr>
      </w:pPr>
      <w:r>
        <w:rPr>
          <w:rFonts w:ascii="仿宋" w:hAnsi="仿宋" w:eastAsia="仿宋" w:cs="Times New Roman"/>
          <w:bCs/>
          <w:sz w:val="28"/>
          <w:szCs w:val="28"/>
        </w:rPr>
        <w:t>2.</w:t>
      </w:r>
      <w:r>
        <w:rPr>
          <w:rFonts w:hint="eastAsia" w:ascii="仿宋" w:hAnsi="仿宋" w:eastAsia="仿宋" w:cs="Times New Roman"/>
          <w:bCs/>
          <w:sz w:val="28"/>
          <w:szCs w:val="28"/>
        </w:rPr>
        <w:t>建设标准。田间道路布局合理，田间道（机耕路）的路面宽度宜为</w:t>
      </w:r>
      <w:r>
        <w:rPr>
          <w:rFonts w:ascii="仿宋" w:hAnsi="仿宋" w:eastAsia="仿宋" w:cs="Times New Roman"/>
          <w:bCs/>
          <w:sz w:val="28"/>
          <w:szCs w:val="28"/>
        </w:rPr>
        <w:t>2</w:t>
      </w:r>
      <w:r>
        <w:rPr>
          <w:rFonts w:hint="eastAsia" w:ascii="仿宋" w:hAnsi="仿宋" w:eastAsia="仿宋" w:cs="Times New Roman"/>
          <w:bCs/>
          <w:sz w:val="28"/>
          <w:szCs w:val="28"/>
        </w:rPr>
        <w:t>～</w:t>
      </w:r>
      <w:r>
        <w:rPr>
          <w:rFonts w:ascii="仿宋" w:hAnsi="仿宋" w:eastAsia="仿宋" w:cs="Times New Roman"/>
          <w:bCs/>
          <w:sz w:val="28"/>
          <w:szCs w:val="28"/>
        </w:rPr>
        <w:t>5</w:t>
      </w:r>
      <w:r>
        <w:rPr>
          <w:rFonts w:hint="eastAsia" w:ascii="仿宋" w:hAnsi="仿宋" w:eastAsia="仿宋" w:cs="Times New Roman"/>
          <w:bCs/>
          <w:sz w:val="28"/>
          <w:szCs w:val="28"/>
        </w:rPr>
        <w:t>米，生产路的路面宽度不宜超过</w:t>
      </w:r>
      <w:r>
        <w:rPr>
          <w:rFonts w:ascii="仿宋" w:hAnsi="仿宋" w:eastAsia="仿宋" w:cs="Times New Roman"/>
          <w:bCs/>
          <w:sz w:val="28"/>
          <w:szCs w:val="28"/>
        </w:rPr>
        <w:t>3</w:t>
      </w:r>
      <w:r>
        <w:rPr>
          <w:rFonts w:hint="eastAsia" w:ascii="仿宋" w:hAnsi="仿宋" w:eastAsia="仿宋" w:cs="Times New Roman"/>
          <w:bCs/>
          <w:sz w:val="28"/>
          <w:szCs w:val="28"/>
        </w:rPr>
        <w:t>米，在大型机械化作业区，农机交汇点路面宽度可适当放宽。田间道（机耕路）路面宜采用混凝土、沥青、碎石等材质，可因地制宜对部分主干路实施硬化措施，生产路的路面可采用泥结石、混凝土等材质。同时要做好路与田的连接，机坡设置既要便于农机下田，又要节约土地。道路通达度平原区达到</w:t>
      </w:r>
      <w:r>
        <w:rPr>
          <w:rFonts w:ascii="仿宋" w:hAnsi="仿宋" w:eastAsia="仿宋" w:cs="Times New Roman"/>
          <w:bCs/>
          <w:sz w:val="28"/>
          <w:szCs w:val="28"/>
        </w:rPr>
        <w:t>100%</w:t>
      </w:r>
      <w:r>
        <w:rPr>
          <w:rFonts w:hint="eastAsia" w:ascii="仿宋" w:hAnsi="仿宋" w:eastAsia="仿宋" w:cs="Times New Roman"/>
          <w:bCs/>
          <w:sz w:val="28"/>
          <w:szCs w:val="28"/>
        </w:rPr>
        <w:t>，其他地区不低于</w:t>
      </w:r>
      <w:r>
        <w:rPr>
          <w:rFonts w:ascii="仿宋" w:hAnsi="仿宋" w:eastAsia="仿宋" w:cs="Times New Roman"/>
          <w:bCs/>
          <w:sz w:val="28"/>
          <w:szCs w:val="28"/>
        </w:rPr>
        <w:t>90%</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（五）完善农田防护与生态环境保持体系</w:t>
      </w:r>
    </w:p>
    <w:p>
      <w:pPr>
        <w:autoSpaceDE w:val="0"/>
        <w:autoSpaceDN w:val="0"/>
        <w:adjustRightInd w:val="0"/>
        <w:ind w:firstLine="560" w:firstLineChars="200"/>
        <w:rPr>
          <w:rFonts w:ascii="仿宋" w:hAnsi="仿宋" w:eastAsia="仿宋" w:cs="Times New Roman"/>
          <w:bCs/>
          <w:sz w:val="28"/>
          <w:szCs w:val="28"/>
        </w:rPr>
      </w:pPr>
      <w:r>
        <w:rPr>
          <w:rFonts w:ascii="仿宋" w:hAnsi="仿宋" w:eastAsia="仿宋" w:cs="Times New Roman"/>
          <w:bCs/>
          <w:sz w:val="28"/>
          <w:szCs w:val="28"/>
        </w:rPr>
        <w:t>1.</w:t>
      </w:r>
      <w:r>
        <w:rPr>
          <w:rFonts w:hint="eastAsia" w:ascii="仿宋" w:hAnsi="仿宋" w:eastAsia="仿宋" w:cs="Times New Roman"/>
          <w:bCs/>
          <w:sz w:val="28"/>
          <w:szCs w:val="28"/>
        </w:rPr>
        <w:t>建设内容。推广生态型治理措施，注重生态沟渠及地表径流集蓄与利用设施建设，统筹整合其他资金，在排渠中因地制宜推广农田氮磷生态拦截沟渠系统建设，减少农田氮磷排放对环境的影响，加强农田防护与生态环境保持。根据防护需要，在主要道路和干渠两侧，适时、适地、适树建设农田防护林。在水土流失易发地区，科学合理修筑岸坡防护、沟道治理、坡面防护等设施。</w:t>
      </w:r>
    </w:p>
    <w:p>
      <w:pPr>
        <w:ind w:firstLine="555"/>
        <w:rPr>
          <w:rFonts w:ascii="仿宋" w:hAnsi="仿宋" w:eastAsia="仿宋" w:cs="Times New Roman"/>
          <w:bCs/>
          <w:sz w:val="28"/>
          <w:szCs w:val="28"/>
        </w:rPr>
      </w:pPr>
      <w:r>
        <w:rPr>
          <w:rFonts w:ascii="仿宋" w:hAnsi="仿宋" w:eastAsia="仿宋" w:cs="Times New Roman"/>
          <w:bCs/>
          <w:sz w:val="28"/>
          <w:szCs w:val="28"/>
        </w:rPr>
        <w:t>2.</w:t>
      </w:r>
      <w:r>
        <w:rPr>
          <w:rFonts w:hint="eastAsia" w:ascii="仿宋" w:hAnsi="仿宋" w:eastAsia="仿宋" w:cs="Times New Roman"/>
          <w:bCs/>
          <w:sz w:val="28"/>
          <w:szCs w:val="28"/>
        </w:rPr>
        <w:t>建设标准。农田防护与生态环境保持工程应进行全面规划、综合治理，与田块、沟渠道路等工程相结合，与农村居民点景观建设相协调。受防护的农田面积占建设区面积的比例，一般应不低于</w:t>
      </w:r>
      <w:r>
        <w:rPr>
          <w:rFonts w:ascii="仿宋" w:hAnsi="仿宋" w:eastAsia="仿宋" w:cs="Times New Roman"/>
          <w:bCs/>
          <w:sz w:val="28"/>
          <w:szCs w:val="28"/>
        </w:rPr>
        <w:t>90%</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（六）推广应用先进农业科学技术</w:t>
      </w:r>
    </w:p>
    <w:p>
      <w:pPr>
        <w:ind w:firstLine="555"/>
        <w:rPr>
          <w:rFonts w:ascii="仿宋" w:hAnsi="仿宋" w:eastAsia="仿宋" w:cs="Times New Roman"/>
          <w:bCs/>
          <w:sz w:val="28"/>
          <w:szCs w:val="28"/>
        </w:rPr>
      </w:pPr>
      <w:r>
        <w:rPr>
          <w:rFonts w:hint="eastAsia" w:ascii="仿宋" w:hAnsi="仿宋" w:eastAsia="仿宋" w:cs="Times New Roman"/>
          <w:bCs/>
          <w:sz w:val="28"/>
          <w:szCs w:val="28"/>
        </w:rPr>
        <w:t>围绕高产、优质、高效、安全、生态目标，大力引进和推广应用新品种、新技术，提高良种规模化种植水平；集成推广应用作物精确定量施肥技术、病虫害安全高效防控技术、高效农业规模化生产技术等先进适用技术。加快推进主要粮油作物、关键环节的生产机械化，加强农机与农艺结合，大力推广高性能植保机械，提高农业机械化水平。大力实施农业科技入户工程，加强农民科技培训，引导和指导农民进行全过程规范化、标准化种植，提高技术到位率。</w:t>
      </w:r>
    </w:p>
    <w:p>
      <w:pPr>
        <w:ind w:firstLine="555"/>
        <w:rPr>
          <w:rFonts w:ascii="仿宋" w:hAnsi="仿宋" w:eastAsia="仿宋" w:cs="Times New Roman"/>
          <w:bCs/>
          <w:sz w:val="28"/>
          <w:szCs w:val="28"/>
        </w:rPr>
      </w:pPr>
      <w:r>
        <w:rPr>
          <w:rFonts w:hint="eastAsia" w:ascii="仿宋" w:hAnsi="仿宋" w:eastAsia="仿宋" w:cs="Times New Roman"/>
          <w:bCs/>
          <w:sz w:val="28"/>
          <w:szCs w:val="28"/>
        </w:rPr>
        <w:t>（七）创新农业生产经营方式</w:t>
      </w:r>
    </w:p>
    <w:p>
      <w:pPr>
        <w:ind w:firstLine="555"/>
        <w:rPr>
          <w:rFonts w:ascii="仿宋" w:hAnsi="仿宋" w:eastAsia="仿宋" w:cs="Times New Roman"/>
          <w:bCs/>
          <w:sz w:val="28"/>
          <w:szCs w:val="28"/>
        </w:rPr>
      </w:pPr>
      <w:r>
        <w:rPr>
          <w:rFonts w:hint="eastAsia" w:ascii="仿宋" w:hAnsi="仿宋" w:eastAsia="仿宋" w:cs="Times New Roman"/>
          <w:bCs/>
          <w:sz w:val="28"/>
          <w:szCs w:val="28"/>
        </w:rPr>
        <w:t>积极培育以农业龙头企业、农业技术服务中心、科技示范户、农民合作经济组织等为依托的多元化专业服务组织，提高农业生产性服务的水平；因地制宜地大力推进土地流转经营、统一服务经营和农民合作经营等方式的农业适度规模经营，提高农业规模经营的水平；围绕优质粮油生产和高效农业规模化的发展，完善农业产业发展链条，提升农业产业化经营水平。</w:t>
      </w:r>
    </w:p>
    <w:p>
      <w:pPr>
        <w:ind w:firstLine="555"/>
        <w:rPr>
          <w:rFonts w:ascii="仿宋" w:hAnsi="仿宋" w:eastAsia="仿宋" w:cs="Times New Roman"/>
          <w:bCs/>
          <w:sz w:val="28"/>
          <w:szCs w:val="28"/>
        </w:rPr>
      </w:pPr>
      <w:r>
        <w:rPr>
          <w:rFonts w:hint="eastAsia" w:ascii="仿宋" w:hAnsi="仿宋" w:eastAsia="仿宋" w:cs="Times New Roman"/>
          <w:bCs/>
          <w:sz w:val="28"/>
          <w:szCs w:val="28"/>
        </w:rPr>
        <w:t>（八）强化后续管护</w:t>
      </w:r>
    </w:p>
    <w:p>
      <w:pPr>
        <w:autoSpaceDE w:val="0"/>
        <w:autoSpaceDN w:val="0"/>
        <w:adjustRightInd w:val="0"/>
        <w:ind w:firstLine="560" w:firstLineChars="200"/>
        <w:rPr>
          <w:rFonts w:ascii="仿宋" w:hAnsi="仿宋" w:eastAsia="仿宋" w:cs="Times New Roman"/>
          <w:bCs/>
          <w:sz w:val="28"/>
          <w:szCs w:val="28"/>
        </w:rPr>
      </w:pPr>
      <w:r>
        <w:rPr>
          <w:rFonts w:ascii="仿宋" w:hAnsi="仿宋" w:eastAsia="仿宋" w:cs="Times New Roman"/>
          <w:bCs/>
          <w:sz w:val="28"/>
          <w:szCs w:val="28"/>
        </w:rPr>
        <w:t>1.</w:t>
      </w:r>
      <w:r>
        <w:rPr>
          <w:rFonts w:hint="eastAsia" w:ascii="仿宋" w:hAnsi="仿宋" w:eastAsia="仿宋" w:cs="Times New Roman"/>
          <w:bCs/>
          <w:sz w:val="28"/>
          <w:szCs w:val="28"/>
        </w:rPr>
        <w:t>建设内容。高标准农田建设项目验收通过后，项目法人应及时按有关规定办理资产交付手续。地方农业农村部门应按照</w:t>
      </w:r>
      <w:r>
        <w:rPr>
          <w:rFonts w:ascii="仿宋" w:hAnsi="仿宋" w:eastAsia="仿宋" w:cs="Times New Roman"/>
          <w:bCs/>
          <w:sz w:val="28"/>
          <w:szCs w:val="28"/>
        </w:rPr>
        <w:t>“</w:t>
      </w:r>
      <w:r>
        <w:rPr>
          <w:rFonts w:hint="eastAsia" w:ascii="仿宋" w:hAnsi="仿宋" w:eastAsia="仿宋" w:cs="Times New Roman"/>
          <w:bCs/>
          <w:sz w:val="28"/>
          <w:szCs w:val="28"/>
        </w:rPr>
        <w:t>谁受益谁管护，谁使用谁管护</w:t>
      </w:r>
      <w:r>
        <w:rPr>
          <w:rFonts w:ascii="仿宋" w:hAnsi="仿宋" w:eastAsia="仿宋" w:cs="Times New Roman"/>
          <w:bCs/>
          <w:sz w:val="28"/>
          <w:szCs w:val="28"/>
        </w:rPr>
        <w:t>”</w:t>
      </w:r>
      <w:r>
        <w:rPr>
          <w:rFonts w:hint="eastAsia" w:ascii="仿宋" w:hAnsi="仿宋" w:eastAsia="仿宋" w:cs="Times New Roman"/>
          <w:bCs/>
          <w:sz w:val="28"/>
          <w:szCs w:val="28"/>
        </w:rPr>
        <w:t>的原则，组织建立高标准农田建设项目建后管护长效运行机制，监督落实管护责任。及时对因自然灾害、使用年限久导致损毁的工程设施开展修复。</w:t>
      </w:r>
    </w:p>
    <w:p>
      <w:pPr>
        <w:autoSpaceDE w:val="0"/>
        <w:autoSpaceDN w:val="0"/>
        <w:adjustRightInd w:val="0"/>
        <w:ind w:firstLine="560" w:firstLineChars="200"/>
        <w:rPr>
          <w:rFonts w:ascii="仿宋" w:hAnsi="仿宋" w:eastAsia="仿宋" w:cs="Times New Roman"/>
          <w:bCs/>
          <w:sz w:val="28"/>
          <w:szCs w:val="28"/>
        </w:rPr>
      </w:pPr>
      <w:r>
        <w:rPr>
          <w:rFonts w:ascii="仿宋" w:hAnsi="仿宋" w:eastAsia="仿宋" w:cs="Times New Roman"/>
          <w:bCs/>
          <w:sz w:val="28"/>
          <w:szCs w:val="28"/>
        </w:rPr>
        <w:t>2.</w:t>
      </w:r>
      <w:r>
        <w:rPr>
          <w:rFonts w:hint="eastAsia" w:ascii="仿宋" w:hAnsi="仿宋" w:eastAsia="仿宋" w:cs="Times New Roman"/>
          <w:bCs/>
          <w:sz w:val="28"/>
          <w:szCs w:val="28"/>
        </w:rPr>
        <w:t>建设标准。高标准农田管护主体和责任明确，管护资金到位，农田基础设施实现长久有效运行。</w:t>
      </w:r>
    </w:p>
    <w:bookmarkEnd w:id="33"/>
    <w:p>
      <w:pPr>
        <w:keepNext/>
        <w:keepLines/>
        <w:spacing w:before="260" w:after="260" w:line="416" w:lineRule="auto"/>
        <w:jc w:val="left"/>
        <w:outlineLvl w:val="1"/>
        <w:rPr>
          <w:rFonts w:ascii="仿宋" w:hAnsi="仿宋" w:eastAsia="仿宋" w:cs="Times New Roman"/>
          <w:b/>
          <w:sz w:val="30"/>
          <w:szCs w:val="30"/>
        </w:rPr>
      </w:pPr>
      <w:bookmarkStart w:id="34" w:name="_Toc99549042"/>
      <w:bookmarkStart w:id="35" w:name="_Toc95983081"/>
      <w:r>
        <w:rPr>
          <w:rFonts w:hint="eastAsia" w:ascii="仿宋" w:hAnsi="仿宋" w:eastAsia="仿宋" w:cs="Times New Roman"/>
          <w:b/>
          <w:sz w:val="30"/>
          <w:szCs w:val="30"/>
        </w:rPr>
        <w:t>二、重点建设项目</w:t>
      </w:r>
      <w:bookmarkEnd w:id="34"/>
      <w:bookmarkEnd w:id="35"/>
    </w:p>
    <w:p>
      <w:pPr>
        <w:ind w:firstLine="555"/>
        <w:rPr>
          <w:rFonts w:ascii="仿宋" w:hAnsi="仿宋" w:eastAsia="仿宋" w:cs="Times New Roman"/>
          <w:bCs/>
          <w:sz w:val="28"/>
          <w:szCs w:val="28"/>
        </w:rPr>
      </w:pPr>
      <w:r>
        <w:rPr>
          <w:rFonts w:hint="eastAsia" w:ascii="仿宋" w:hAnsi="仿宋" w:eastAsia="仿宋" w:cs="Times New Roman"/>
          <w:bCs/>
          <w:sz w:val="28"/>
          <w:szCs w:val="28"/>
        </w:rPr>
        <w:t>（一）绿色农田示范项目</w:t>
      </w:r>
    </w:p>
    <w:p>
      <w:pPr>
        <w:ind w:firstLine="555"/>
        <w:rPr>
          <w:rFonts w:ascii="仿宋" w:hAnsi="仿宋" w:eastAsia="仿宋" w:cs="Times New Roman"/>
          <w:bCs/>
          <w:sz w:val="28"/>
          <w:szCs w:val="28"/>
        </w:rPr>
      </w:pPr>
      <w:r>
        <w:rPr>
          <w:rFonts w:hint="eastAsia" w:ascii="仿宋" w:hAnsi="仿宋" w:eastAsia="仿宋" w:cs="Times New Roman"/>
          <w:bCs/>
          <w:sz w:val="28"/>
          <w:szCs w:val="28"/>
        </w:rPr>
        <w:t>为扎实推进绿色农田建设试点工作，根据《浙江省人民政府办公厅关于加强高标准农田建设高质量保障粮食综合生产能力的意见》（浙政办发〔2020〕84 号）、《浙江省农业农村高质量发展专项资金管理办法》（浙财农〔2020〕20 号）等有关要求，重点围绕“水、路、林、电”进行建设，加强灌排渠系建设和改造，完善排灌设施装备，因地制宜开展高效节水灌溉，排涝能力达到暴雨重现期10年一遇。合理建设田间道路，加强宜机化改造，确保田间道路畅通，实现农业运输和农机下田有保障。科学布设农田林网，林相整齐，树种适合，并与周边村庄景观相协调，实现农田防护与生态环境保护有保障。完善输电线路、变压器等设备，满足农业生产用电需求，提高输电效率，清理序化田间线杆，保证运行安全。</w:t>
      </w:r>
    </w:p>
    <w:p>
      <w:pPr>
        <w:ind w:firstLine="555"/>
        <w:rPr>
          <w:rFonts w:ascii="仿宋" w:hAnsi="仿宋" w:eastAsia="仿宋" w:cs="Times New Roman"/>
          <w:bCs/>
          <w:sz w:val="28"/>
          <w:szCs w:val="28"/>
        </w:rPr>
      </w:pPr>
      <w:r>
        <w:rPr>
          <w:rFonts w:hint="eastAsia" w:ascii="仿宋" w:hAnsi="仿宋" w:eastAsia="仿宋" w:cs="Times New Roman"/>
          <w:bCs/>
          <w:sz w:val="28"/>
          <w:szCs w:val="28"/>
        </w:rPr>
        <w:t>绿色农田主要建设内容涉及工程建设、绿色生态和数字农业等三个方面，具体内容如下：</w:t>
      </w:r>
    </w:p>
    <w:p>
      <w:pPr>
        <w:ind w:firstLine="555"/>
        <w:rPr>
          <w:rFonts w:ascii="仿宋" w:hAnsi="仿宋" w:eastAsia="仿宋" w:cs="Times New Roman"/>
          <w:bCs/>
          <w:sz w:val="28"/>
          <w:szCs w:val="28"/>
        </w:rPr>
      </w:pPr>
      <w:r>
        <w:rPr>
          <w:rFonts w:hint="eastAsia" w:ascii="仿宋" w:hAnsi="仿宋" w:eastAsia="仿宋" w:cs="Times New Roman"/>
          <w:bCs/>
          <w:sz w:val="28"/>
          <w:szCs w:val="28"/>
        </w:rPr>
        <w:t>1、工程建设方面包括：①</w:t>
      </w:r>
      <w:r>
        <w:rPr>
          <w:rFonts w:ascii="仿宋" w:hAnsi="仿宋" w:eastAsia="仿宋" w:cs="Times New Roman"/>
          <w:bCs/>
          <w:sz w:val="28"/>
          <w:szCs w:val="28"/>
        </w:rPr>
        <w:t>灌溉与排水工程：灌渠</w:t>
      </w:r>
      <w:r>
        <w:rPr>
          <w:rFonts w:hint="eastAsia" w:ascii="仿宋" w:hAnsi="仿宋" w:eastAsia="仿宋" w:cs="Times New Roman"/>
          <w:bCs/>
          <w:sz w:val="28"/>
          <w:szCs w:val="28"/>
        </w:rPr>
        <w:t>、</w:t>
      </w:r>
      <w:r>
        <w:rPr>
          <w:rFonts w:ascii="仿宋" w:hAnsi="仿宋" w:eastAsia="仿宋" w:cs="Times New Roman"/>
          <w:bCs/>
          <w:sz w:val="28"/>
          <w:szCs w:val="28"/>
        </w:rPr>
        <w:t>排水沟，灌溉机埠</w:t>
      </w:r>
      <w:r>
        <w:rPr>
          <w:rFonts w:hint="eastAsia" w:ascii="仿宋" w:hAnsi="仿宋" w:eastAsia="仿宋" w:cs="Times New Roman"/>
          <w:bCs/>
          <w:sz w:val="28"/>
          <w:szCs w:val="28"/>
        </w:rPr>
        <w:t>、</w:t>
      </w:r>
      <w:r>
        <w:rPr>
          <w:rFonts w:ascii="仿宋" w:hAnsi="仿宋" w:eastAsia="仿宋" w:cs="Times New Roman"/>
          <w:bCs/>
          <w:sz w:val="28"/>
          <w:szCs w:val="28"/>
        </w:rPr>
        <w:t>水闸</w:t>
      </w:r>
      <w:r>
        <w:rPr>
          <w:rFonts w:hint="eastAsia" w:ascii="仿宋" w:hAnsi="仿宋" w:eastAsia="仿宋" w:cs="Times New Roman"/>
          <w:bCs/>
          <w:sz w:val="28"/>
          <w:szCs w:val="28"/>
        </w:rPr>
        <w:t>、分</w:t>
      </w:r>
      <w:r>
        <w:rPr>
          <w:rFonts w:ascii="仿宋" w:hAnsi="仿宋" w:eastAsia="仿宋" w:cs="Times New Roman"/>
          <w:bCs/>
          <w:sz w:val="28"/>
          <w:szCs w:val="28"/>
        </w:rPr>
        <w:t>水闸</w:t>
      </w:r>
      <w:r>
        <w:rPr>
          <w:rFonts w:hint="eastAsia" w:ascii="仿宋" w:hAnsi="仿宋" w:eastAsia="仿宋" w:cs="Times New Roman"/>
          <w:bCs/>
          <w:sz w:val="28"/>
          <w:szCs w:val="28"/>
        </w:rPr>
        <w:t>、</w:t>
      </w:r>
      <w:r>
        <w:rPr>
          <w:rFonts w:ascii="仿宋" w:hAnsi="仿宋" w:eastAsia="仿宋" w:cs="Times New Roman"/>
          <w:bCs/>
          <w:sz w:val="28"/>
          <w:szCs w:val="28"/>
        </w:rPr>
        <w:t>集水井</w:t>
      </w:r>
      <w:r>
        <w:rPr>
          <w:rFonts w:hint="eastAsia" w:ascii="仿宋" w:hAnsi="仿宋" w:eastAsia="仿宋" w:cs="Times New Roman"/>
          <w:bCs/>
          <w:sz w:val="28"/>
          <w:szCs w:val="28"/>
        </w:rPr>
        <w:t>；②</w:t>
      </w:r>
      <w:r>
        <w:rPr>
          <w:rFonts w:ascii="仿宋" w:hAnsi="仿宋" w:eastAsia="仿宋" w:cs="Times New Roman"/>
          <w:bCs/>
          <w:sz w:val="28"/>
          <w:szCs w:val="28"/>
        </w:rPr>
        <w:t>田间道路工程：修建田间道路</w:t>
      </w:r>
      <w:r>
        <w:rPr>
          <w:rFonts w:hint="eastAsia" w:ascii="仿宋" w:hAnsi="仿宋" w:eastAsia="仿宋" w:cs="Times New Roman"/>
          <w:bCs/>
          <w:sz w:val="28"/>
          <w:szCs w:val="28"/>
        </w:rPr>
        <w:t>、</w:t>
      </w:r>
      <w:r>
        <w:rPr>
          <w:rFonts w:ascii="仿宋" w:hAnsi="仿宋" w:eastAsia="仿宋" w:cs="Times New Roman"/>
          <w:bCs/>
          <w:sz w:val="28"/>
          <w:szCs w:val="28"/>
        </w:rPr>
        <w:t>下田道</w:t>
      </w:r>
      <w:r>
        <w:rPr>
          <w:rFonts w:hint="eastAsia" w:ascii="仿宋" w:hAnsi="仿宋" w:eastAsia="仿宋" w:cs="Times New Roman"/>
          <w:bCs/>
          <w:sz w:val="28"/>
          <w:szCs w:val="28"/>
        </w:rPr>
        <w:t>、</w:t>
      </w:r>
      <w:r>
        <w:rPr>
          <w:rFonts w:ascii="仿宋" w:hAnsi="仿宋" w:eastAsia="仿宋" w:cs="Times New Roman"/>
          <w:bCs/>
          <w:sz w:val="28"/>
          <w:szCs w:val="28"/>
        </w:rPr>
        <w:t>埋设砼涵管</w:t>
      </w:r>
      <w:r>
        <w:rPr>
          <w:rFonts w:hint="eastAsia" w:ascii="仿宋" w:hAnsi="仿宋" w:eastAsia="仿宋" w:cs="Times New Roman"/>
          <w:bCs/>
          <w:sz w:val="28"/>
          <w:szCs w:val="28"/>
        </w:rPr>
        <w:t>；③</w:t>
      </w:r>
      <w:r>
        <w:rPr>
          <w:rFonts w:ascii="仿宋" w:hAnsi="仿宋" w:eastAsia="仿宋" w:cs="Times New Roman"/>
          <w:bCs/>
          <w:sz w:val="28"/>
          <w:szCs w:val="28"/>
        </w:rPr>
        <w:t>土壤改良工程：增施有机肥</w:t>
      </w:r>
      <w:r>
        <w:rPr>
          <w:rFonts w:hint="eastAsia" w:ascii="仿宋" w:hAnsi="仿宋" w:eastAsia="仿宋" w:cs="Times New Roman"/>
          <w:bCs/>
          <w:sz w:val="28"/>
          <w:szCs w:val="28"/>
        </w:rPr>
        <w:t>、</w:t>
      </w:r>
      <w:r>
        <w:rPr>
          <w:rFonts w:ascii="仿宋" w:hAnsi="仿宋" w:eastAsia="仿宋" w:cs="Times New Roman"/>
          <w:bCs/>
          <w:sz w:val="28"/>
          <w:szCs w:val="28"/>
        </w:rPr>
        <w:t>撒施钙镁磷肥</w:t>
      </w:r>
      <w:r>
        <w:rPr>
          <w:rFonts w:hint="eastAsia" w:ascii="仿宋" w:hAnsi="仿宋" w:eastAsia="仿宋" w:cs="Times New Roman"/>
          <w:bCs/>
          <w:sz w:val="28"/>
          <w:szCs w:val="28"/>
        </w:rPr>
        <w:t>、</w:t>
      </w:r>
      <w:r>
        <w:rPr>
          <w:rFonts w:ascii="仿宋" w:hAnsi="仿宋" w:eastAsia="仿宋" w:cs="Times New Roman"/>
          <w:bCs/>
          <w:sz w:val="28"/>
          <w:szCs w:val="28"/>
        </w:rPr>
        <w:t>秸秆还田。</w:t>
      </w:r>
    </w:p>
    <w:p>
      <w:pPr>
        <w:ind w:firstLine="555"/>
        <w:rPr>
          <w:rFonts w:ascii="仿宋" w:hAnsi="仿宋" w:eastAsia="仿宋" w:cs="Times New Roman"/>
          <w:bCs/>
          <w:sz w:val="28"/>
          <w:szCs w:val="28"/>
        </w:rPr>
      </w:pPr>
      <w:r>
        <w:rPr>
          <w:rFonts w:hint="eastAsia" w:ascii="仿宋" w:hAnsi="仿宋" w:eastAsia="仿宋" w:cs="Times New Roman"/>
          <w:bCs/>
          <w:sz w:val="28"/>
          <w:szCs w:val="28"/>
        </w:rPr>
        <w:t>2、绿色生态体系：建成生态拦截沟。</w:t>
      </w:r>
    </w:p>
    <w:p>
      <w:pPr>
        <w:ind w:firstLine="555"/>
        <w:rPr>
          <w:rFonts w:ascii="仿宋" w:hAnsi="仿宋" w:eastAsia="仿宋" w:cs="Times New Roman"/>
          <w:bCs/>
          <w:sz w:val="28"/>
          <w:szCs w:val="28"/>
        </w:rPr>
      </w:pPr>
      <w:r>
        <w:rPr>
          <w:rFonts w:hint="eastAsia" w:ascii="仿宋" w:hAnsi="仿宋" w:eastAsia="仿宋" w:cs="Times New Roman"/>
          <w:bCs/>
          <w:sz w:val="28"/>
          <w:szCs w:val="28"/>
        </w:rPr>
        <w:t>3、数字农业体系：</w:t>
      </w:r>
      <w:r>
        <w:rPr>
          <w:rFonts w:ascii="仿宋" w:hAnsi="仿宋" w:eastAsia="仿宋" w:cs="Times New Roman"/>
          <w:bCs/>
          <w:sz w:val="28"/>
          <w:szCs w:val="28"/>
        </w:rPr>
        <w:t>智慧病虫害监测预警系统（含农业气象监测站、智能虫情测报灯、可视化监控系统）、智慧生态绿色防控系统（含联网式杀虫灯、智慧性诱测报灯）、数字化消灭稻虫空间、智慧尾水监测系统、数字化物联网平台、稻田智能灌溉系统、设备科普介绍展牌。</w:t>
      </w:r>
    </w:p>
    <w:p>
      <w:pPr>
        <w:rPr>
          <w:rFonts w:ascii="仿宋" w:hAnsi="仿宋" w:eastAsia="仿宋" w:cs="Times New Roman"/>
          <w:bCs/>
          <w:sz w:val="28"/>
          <w:szCs w:val="28"/>
        </w:rPr>
      </w:pPr>
      <w:r>
        <w:rPr>
          <w:bCs/>
        </w:rPr>
        <w:drawing>
          <wp:inline distT="0" distB="0" distL="0" distR="0">
            <wp:extent cx="5356225" cy="2647315"/>
            <wp:effectExtent l="0" t="0" r="0" b="635"/>
            <wp:docPr id="5" name="图片 5" descr="湖北省绿色农田建设示范指导意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湖北省绿色农田建设示范指导意见"/>
                    <pic:cNvPicPr>
                      <a:picLocks noChangeAspect="true" noChangeArrowheads="true"/>
                    </pic:cNvPicPr>
                  </pic:nvPicPr>
                  <pic:blipFill>
                    <a:blip r:embed="rId23">
                      <a:extLst>
                        <a:ext uri="{28A0092B-C50C-407E-A947-70E740481C1C}">
                          <a14:useLocalDpi xmlns:a14="http://schemas.microsoft.com/office/drawing/2010/main" val="false"/>
                        </a:ext>
                      </a:extLst>
                    </a:blip>
                    <a:srcRect t="13111"/>
                    <a:stretch>
                      <a:fillRect/>
                    </a:stretch>
                  </pic:blipFill>
                  <pic:spPr>
                    <a:xfrm>
                      <a:off x="0" y="0"/>
                      <a:ext cx="5360536" cy="2649590"/>
                    </a:xfrm>
                    <a:prstGeom prst="rect">
                      <a:avLst/>
                    </a:prstGeom>
                    <a:noFill/>
                    <a:ln>
                      <a:noFill/>
                    </a:ln>
                  </pic:spPr>
                </pic:pic>
              </a:graphicData>
            </a:graphic>
          </wp:inline>
        </w:drawing>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图</w:t>
      </w:r>
      <w:r>
        <w:rPr>
          <w:rFonts w:ascii="仿宋" w:hAnsi="仿宋" w:eastAsia="仿宋" w:cs="Times New Roman"/>
          <w:bCs/>
          <w:sz w:val="24"/>
          <w:szCs w:val="28"/>
        </w:rPr>
        <w:t>4-1</w:t>
      </w:r>
      <w:r>
        <w:rPr>
          <w:rFonts w:hint="eastAsia" w:ascii="仿宋" w:hAnsi="仿宋" w:eastAsia="仿宋" w:cs="Times New Roman"/>
          <w:bCs/>
          <w:sz w:val="24"/>
          <w:szCs w:val="28"/>
        </w:rPr>
        <w:t>绿色农田架构意向图</w:t>
      </w:r>
    </w:p>
    <w:p>
      <w:pPr>
        <w:ind w:firstLine="555"/>
        <w:rPr>
          <w:rFonts w:ascii="仿宋" w:hAnsi="仿宋" w:eastAsia="仿宋" w:cs="Times New Roman"/>
          <w:bCs/>
          <w:sz w:val="28"/>
          <w:szCs w:val="28"/>
        </w:rPr>
      </w:pPr>
      <w:r>
        <w:rPr>
          <w:rFonts w:hint="eastAsia" w:ascii="仿宋" w:hAnsi="仿宋" w:eastAsia="仿宋" w:cs="Times New Roman"/>
          <w:bCs/>
          <w:sz w:val="28"/>
          <w:szCs w:val="28"/>
        </w:rPr>
        <w:t>规划期内，计划至少实施</w:t>
      </w:r>
      <w:r>
        <w:rPr>
          <w:rFonts w:ascii="仿宋" w:hAnsi="仿宋" w:eastAsia="仿宋" w:cs="Times New Roman"/>
          <w:bCs/>
          <w:sz w:val="28"/>
          <w:szCs w:val="28"/>
        </w:rPr>
        <w:t>2</w:t>
      </w:r>
      <w:r>
        <w:rPr>
          <w:rFonts w:hint="eastAsia" w:ascii="仿宋" w:hAnsi="仿宋" w:eastAsia="仿宋" w:cs="Times New Roman"/>
          <w:bCs/>
          <w:sz w:val="28"/>
          <w:szCs w:val="28"/>
        </w:rPr>
        <w:t>个绿色农田项目，主要分布在崇头镇梅源村、石塘镇规溪村，总面积</w:t>
      </w:r>
      <w:r>
        <w:rPr>
          <w:rFonts w:ascii="仿宋" w:hAnsi="仿宋" w:eastAsia="仿宋" w:cs="Times New Roman"/>
          <w:bCs/>
          <w:sz w:val="28"/>
          <w:szCs w:val="28"/>
        </w:rPr>
        <w:t>0.21</w:t>
      </w:r>
      <w:r>
        <w:rPr>
          <w:rFonts w:hint="eastAsia" w:ascii="仿宋" w:hAnsi="仿宋" w:eastAsia="仿宋" w:cs="Times New Roman"/>
          <w:bCs/>
          <w:sz w:val="28"/>
          <w:szCs w:val="28"/>
        </w:rPr>
        <w:t>万亩，总投资约</w:t>
      </w:r>
      <w:r>
        <w:rPr>
          <w:rFonts w:ascii="仿宋" w:hAnsi="仿宋" w:eastAsia="仿宋" w:cs="Times New Roman"/>
          <w:bCs/>
          <w:sz w:val="28"/>
          <w:szCs w:val="28"/>
        </w:rPr>
        <w:t>1050</w:t>
      </w:r>
      <w:r>
        <w:rPr>
          <w:rFonts w:hint="eastAsia" w:ascii="仿宋" w:hAnsi="仿宋" w:eastAsia="仿宋" w:cs="Times New Roman"/>
          <w:bCs/>
          <w:sz w:val="28"/>
          <w:szCs w:val="28"/>
        </w:rPr>
        <w:t>万元。详见下表：</w:t>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表</w:t>
      </w:r>
      <w:r>
        <w:rPr>
          <w:rFonts w:ascii="仿宋" w:hAnsi="仿宋" w:eastAsia="仿宋" w:cs="Times New Roman"/>
          <w:bCs/>
          <w:sz w:val="24"/>
          <w:szCs w:val="28"/>
        </w:rPr>
        <w:t>4-1</w:t>
      </w:r>
      <w:r>
        <w:rPr>
          <w:rFonts w:hint="eastAsia" w:ascii="仿宋" w:hAnsi="仿宋" w:eastAsia="仿宋" w:cs="Times New Roman"/>
          <w:bCs/>
          <w:sz w:val="24"/>
          <w:szCs w:val="28"/>
        </w:rPr>
        <w:t>云和县高标准农田建设“十四五”规划绿色农田建设项目表</w:t>
      </w:r>
    </w:p>
    <w:p>
      <w:pPr>
        <w:ind w:firstLine="555"/>
        <w:jc w:val="right"/>
        <w:rPr>
          <w:rFonts w:ascii="仿宋" w:hAnsi="仿宋" w:eastAsia="仿宋" w:cs="Times New Roman"/>
          <w:bCs/>
          <w:sz w:val="22"/>
          <w:szCs w:val="28"/>
        </w:rPr>
      </w:pPr>
      <w:r>
        <w:rPr>
          <w:rFonts w:hint="eastAsia" w:ascii="仿宋" w:hAnsi="仿宋" w:eastAsia="仿宋" w:cs="Times New Roman"/>
          <w:bCs/>
          <w:sz w:val="22"/>
          <w:szCs w:val="28"/>
        </w:rPr>
        <w:t>单位：万亩、万元</w:t>
      </w:r>
    </w:p>
    <w:tbl>
      <w:tblPr>
        <w:tblStyle w:val="85"/>
        <w:tblW w:w="5000" w:type="pct"/>
        <w:tblInd w:w="0" w:type="dxa"/>
        <w:tblLayout w:type="autofit"/>
        <w:tblCellMar>
          <w:top w:w="0" w:type="dxa"/>
          <w:left w:w="108" w:type="dxa"/>
          <w:bottom w:w="0" w:type="dxa"/>
          <w:right w:w="108" w:type="dxa"/>
        </w:tblCellMar>
      </w:tblPr>
      <w:tblGrid>
        <w:gridCol w:w="1556"/>
        <w:gridCol w:w="4474"/>
        <w:gridCol w:w="1246"/>
        <w:gridCol w:w="1246"/>
      </w:tblGrid>
      <w:tr>
        <w:tblPrEx>
          <w:tblCellMar>
            <w:top w:w="0" w:type="dxa"/>
            <w:left w:w="108" w:type="dxa"/>
            <w:bottom w:w="0" w:type="dxa"/>
            <w:right w:w="108" w:type="dxa"/>
          </w:tblCellMar>
        </w:tblPrEx>
        <w:trPr>
          <w:trHeight w:val="285" w:hRule="atLeast"/>
        </w:trPr>
        <w:tc>
          <w:tcPr>
            <w:tcW w:w="91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类型</w:t>
            </w:r>
          </w:p>
        </w:tc>
        <w:tc>
          <w:tcPr>
            <w:tcW w:w="262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项目名称</w:t>
            </w:r>
          </w:p>
        </w:tc>
        <w:tc>
          <w:tcPr>
            <w:tcW w:w="73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规模</w:t>
            </w:r>
          </w:p>
        </w:tc>
        <w:tc>
          <w:tcPr>
            <w:tcW w:w="73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预算</w:t>
            </w:r>
          </w:p>
        </w:tc>
      </w:tr>
      <w:tr>
        <w:tblPrEx>
          <w:tblCellMar>
            <w:top w:w="0" w:type="dxa"/>
            <w:left w:w="108" w:type="dxa"/>
            <w:bottom w:w="0" w:type="dxa"/>
            <w:right w:w="108" w:type="dxa"/>
          </w:tblCellMar>
        </w:tblPrEx>
        <w:trPr>
          <w:trHeight w:val="285" w:hRule="atLeast"/>
        </w:trPr>
        <w:tc>
          <w:tcPr>
            <w:tcW w:w="913"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绿色农田建设</w:t>
            </w:r>
          </w:p>
        </w:tc>
        <w:tc>
          <w:tcPr>
            <w:tcW w:w="2625"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崇头镇梅源村绿色农田建设项目</w:t>
            </w:r>
          </w:p>
        </w:tc>
        <w:tc>
          <w:tcPr>
            <w:tcW w:w="73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0.11</w:t>
            </w:r>
          </w:p>
        </w:tc>
        <w:tc>
          <w:tcPr>
            <w:tcW w:w="73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5</w:t>
            </w:r>
            <w:r>
              <w:rPr>
                <w:rFonts w:ascii="仿宋" w:hAnsi="仿宋" w:eastAsia="仿宋" w:cs="宋体"/>
                <w:bCs/>
                <w:color w:val="000000"/>
                <w:kern w:val="0"/>
                <w:sz w:val="22"/>
              </w:rPr>
              <w:t>50</w:t>
            </w:r>
          </w:p>
        </w:tc>
      </w:tr>
      <w:tr>
        <w:tblPrEx>
          <w:tblCellMar>
            <w:top w:w="0" w:type="dxa"/>
            <w:left w:w="108" w:type="dxa"/>
            <w:bottom w:w="0" w:type="dxa"/>
            <w:right w:w="108" w:type="dxa"/>
          </w:tblCellMar>
        </w:tblPrEx>
        <w:trPr>
          <w:trHeight w:val="285" w:hRule="atLeast"/>
        </w:trPr>
        <w:tc>
          <w:tcPr>
            <w:tcW w:w="913"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Cs/>
                <w:color w:val="000000"/>
                <w:kern w:val="0"/>
                <w:sz w:val="22"/>
              </w:rPr>
            </w:pPr>
          </w:p>
        </w:tc>
        <w:tc>
          <w:tcPr>
            <w:tcW w:w="2625"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石塘镇规溪村绿色农田建设项目</w:t>
            </w:r>
          </w:p>
        </w:tc>
        <w:tc>
          <w:tcPr>
            <w:tcW w:w="73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0.10</w:t>
            </w:r>
          </w:p>
        </w:tc>
        <w:tc>
          <w:tcPr>
            <w:tcW w:w="73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500</w:t>
            </w:r>
          </w:p>
        </w:tc>
      </w:tr>
      <w:tr>
        <w:trPr>
          <w:trHeight w:val="285" w:hRule="atLeast"/>
        </w:trPr>
        <w:tc>
          <w:tcPr>
            <w:tcW w:w="913" w:type="pct"/>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bCs/>
                <w:color w:val="000000"/>
                <w:kern w:val="0"/>
                <w:sz w:val="22"/>
              </w:rPr>
            </w:pPr>
          </w:p>
        </w:tc>
        <w:tc>
          <w:tcPr>
            <w:tcW w:w="2625"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73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0.21</w:t>
            </w:r>
          </w:p>
        </w:tc>
        <w:tc>
          <w:tcPr>
            <w:tcW w:w="73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1050</w:t>
            </w:r>
          </w:p>
        </w:tc>
      </w:tr>
    </w:tbl>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（二）已建高标准农田提质改造项目</w:t>
      </w:r>
    </w:p>
    <w:p>
      <w:pPr>
        <w:ind w:firstLine="555"/>
        <w:rPr>
          <w:rFonts w:ascii="仿宋" w:hAnsi="仿宋" w:eastAsia="仿宋" w:cs="Times New Roman"/>
          <w:bCs/>
          <w:sz w:val="28"/>
          <w:szCs w:val="28"/>
        </w:rPr>
      </w:pPr>
      <w:r>
        <w:rPr>
          <w:rFonts w:hint="eastAsia" w:ascii="仿宋" w:hAnsi="仿宋" w:eastAsia="仿宋" w:cs="Times New Roman"/>
          <w:bCs/>
          <w:sz w:val="28"/>
          <w:szCs w:val="28"/>
        </w:rPr>
        <w:t>建设高标准农田，不仅要以保障粮食产能为首要任务，而且要为提供高品质的农产品奠定良好的资源环境基础，实现从“吃得饱”到“吃得好、吃得健康”实质性转变，从而更好地满足人民群众对美好生活的需要。</w:t>
      </w:r>
    </w:p>
    <w:p>
      <w:pPr>
        <w:ind w:firstLine="555"/>
        <w:rPr>
          <w:rFonts w:ascii="仿宋" w:hAnsi="仿宋" w:eastAsia="仿宋" w:cs="Times New Roman"/>
          <w:bCs/>
          <w:sz w:val="28"/>
          <w:szCs w:val="28"/>
        </w:rPr>
      </w:pPr>
      <w:r>
        <w:rPr>
          <w:rFonts w:hint="eastAsia" w:ascii="仿宋" w:hAnsi="仿宋" w:eastAsia="仿宋" w:cs="Times New Roman"/>
          <w:bCs/>
          <w:sz w:val="28"/>
          <w:szCs w:val="28"/>
        </w:rPr>
        <w:t>提质改造项目主要建设内容:</w:t>
      </w:r>
      <w:r>
        <w:rPr>
          <w:rFonts w:hint="eastAsia"/>
          <w:bCs/>
        </w:rPr>
        <w:t xml:space="preserve"> </w:t>
      </w:r>
      <w:r>
        <w:rPr>
          <w:rFonts w:hint="eastAsia" w:ascii="仿宋" w:hAnsi="仿宋" w:eastAsia="仿宋" w:cs="Times New Roman"/>
          <w:bCs/>
          <w:sz w:val="28"/>
          <w:szCs w:val="28"/>
        </w:rPr>
        <w:t>结合云和地区丘陵地貌特色，优化田块布局，实现以条带状分布为主，延长机械作业线路。通过开挖回填土壤工程措施，修建地块进出坡道、完善田间道路。合理布局沟渠，沟渠的修建应兼顾农业机械通行需要，深开围沟、背沟。少开或浅开厢沟。通过秸秆还田、绿肥种植、粪肥施用等生态培肥方式，结合深松、旋耕等农业机械化措施，培肥熟化土壤，提升地力。</w:t>
      </w:r>
    </w:p>
    <w:p>
      <w:pPr>
        <w:ind w:firstLine="555"/>
        <w:rPr>
          <w:rFonts w:ascii="仿宋" w:hAnsi="仿宋" w:eastAsia="仿宋" w:cs="Times New Roman"/>
          <w:bCs/>
          <w:sz w:val="28"/>
          <w:szCs w:val="28"/>
        </w:rPr>
      </w:pPr>
      <w:r>
        <w:rPr>
          <w:rFonts w:hint="eastAsia" w:ascii="仿宋" w:hAnsi="仿宋" w:eastAsia="仿宋" w:cs="Times New Roman"/>
          <w:bCs/>
          <w:sz w:val="28"/>
          <w:szCs w:val="28"/>
        </w:rPr>
        <w:t>规划期内，计划实施提质改造项目1</w:t>
      </w:r>
      <w:r>
        <w:rPr>
          <w:rFonts w:ascii="仿宋" w:hAnsi="仿宋" w:eastAsia="仿宋" w:cs="Times New Roman"/>
          <w:bCs/>
          <w:sz w:val="28"/>
          <w:szCs w:val="28"/>
        </w:rPr>
        <w:t>0</w:t>
      </w:r>
      <w:r>
        <w:rPr>
          <w:rFonts w:hint="eastAsia" w:ascii="仿宋" w:hAnsi="仿宋" w:eastAsia="仿宋" w:cs="Times New Roman"/>
          <w:bCs/>
          <w:sz w:val="28"/>
          <w:szCs w:val="28"/>
        </w:rPr>
        <w:t>个，总面积0</w:t>
      </w:r>
      <w:r>
        <w:rPr>
          <w:rFonts w:ascii="仿宋" w:hAnsi="仿宋" w:eastAsia="仿宋" w:cs="Times New Roman"/>
          <w:bCs/>
          <w:sz w:val="28"/>
          <w:szCs w:val="28"/>
        </w:rPr>
        <w:t>.73</w:t>
      </w:r>
      <w:r>
        <w:rPr>
          <w:rFonts w:hint="eastAsia" w:ascii="仿宋" w:hAnsi="仿宋" w:eastAsia="仿宋" w:cs="Times New Roman"/>
          <w:bCs/>
          <w:sz w:val="28"/>
          <w:szCs w:val="28"/>
        </w:rPr>
        <w:t>万亩，总投资约</w:t>
      </w:r>
      <w:r>
        <w:rPr>
          <w:rFonts w:ascii="仿宋" w:hAnsi="仿宋" w:eastAsia="仿宋" w:cs="Times New Roman"/>
          <w:bCs/>
          <w:sz w:val="28"/>
          <w:szCs w:val="28"/>
        </w:rPr>
        <w:t>3650</w:t>
      </w:r>
      <w:r>
        <w:rPr>
          <w:rFonts w:hint="eastAsia" w:ascii="仿宋" w:hAnsi="仿宋" w:eastAsia="仿宋" w:cs="Times New Roman"/>
          <w:bCs/>
          <w:sz w:val="28"/>
          <w:szCs w:val="28"/>
        </w:rPr>
        <w:t>万元。详见下表：</w:t>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表</w:t>
      </w:r>
      <w:r>
        <w:rPr>
          <w:rFonts w:ascii="仿宋" w:hAnsi="仿宋" w:eastAsia="仿宋" w:cs="Times New Roman"/>
          <w:bCs/>
          <w:sz w:val="24"/>
          <w:szCs w:val="28"/>
        </w:rPr>
        <w:t>4-2</w:t>
      </w:r>
      <w:r>
        <w:rPr>
          <w:rFonts w:hint="eastAsia" w:ascii="仿宋" w:hAnsi="仿宋" w:eastAsia="仿宋" w:cs="Times New Roman"/>
          <w:bCs/>
          <w:sz w:val="24"/>
          <w:szCs w:val="28"/>
        </w:rPr>
        <w:t>云和县高标准农田建设“十四五”规划提质改造建设项目表</w:t>
      </w:r>
    </w:p>
    <w:p>
      <w:pPr>
        <w:ind w:firstLine="555"/>
        <w:jc w:val="right"/>
        <w:rPr>
          <w:rFonts w:ascii="仿宋" w:hAnsi="仿宋" w:eastAsia="仿宋" w:cs="Times New Roman"/>
          <w:bCs/>
          <w:sz w:val="22"/>
          <w:szCs w:val="28"/>
        </w:rPr>
      </w:pPr>
      <w:r>
        <w:rPr>
          <w:rFonts w:hint="eastAsia" w:ascii="仿宋" w:hAnsi="仿宋" w:eastAsia="仿宋" w:cs="Times New Roman"/>
          <w:bCs/>
          <w:sz w:val="22"/>
          <w:szCs w:val="28"/>
        </w:rPr>
        <w:t>单位：万亩、万元</w:t>
      </w:r>
    </w:p>
    <w:tbl>
      <w:tblPr>
        <w:tblStyle w:val="8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189"/>
        <w:gridCol w:w="853"/>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4"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项目类型</w:t>
            </w:r>
          </w:p>
        </w:tc>
        <w:tc>
          <w:tcPr>
            <w:tcW w:w="3631"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项目名称</w:t>
            </w:r>
          </w:p>
        </w:tc>
        <w:tc>
          <w:tcPr>
            <w:tcW w:w="500"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规模</w:t>
            </w:r>
          </w:p>
        </w:tc>
        <w:tc>
          <w:tcPr>
            <w:tcW w:w="445"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24" w:type="pct"/>
            <w:vMerge w:val="continue"/>
            <w:vAlign w:val="center"/>
          </w:tcPr>
          <w:p>
            <w:pPr>
              <w:widowControl/>
              <w:jc w:val="left"/>
              <w:rPr>
                <w:rFonts w:ascii="仿宋" w:hAnsi="仿宋" w:eastAsia="仿宋" w:cs="宋体"/>
                <w:bCs/>
                <w:color w:val="000000"/>
                <w:kern w:val="0"/>
                <w:sz w:val="22"/>
              </w:rPr>
            </w:pPr>
          </w:p>
        </w:tc>
        <w:tc>
          <w:tcPr>
            <w:tcW w:w="3631" w:type="pct"/>
            <w:vMerge w:val="continue"/>
            <w:vAlign w:val="center"/>
          </w:tcPr>
          <w:p>
            <w:pPr>
              <w:widowControl/>
              <w:jc w:val="left"/>
              <w:rPr>
                <w:rFonts w:ascii="仿宋" w:hAnsi="仿宋" w:eastAsia="仿宋" w:cs="宋体"/>
                <w:bCs/>
                <w:color w:val="000000"/>
                <w:kern w:val="0"/>
                <w:sz w:val="22"/>
              </w:rPr>
            </w:pPr>
          </w:p>
        </w:tc>
        <w:tc>
          <w:tcPr>
            <w:tcW w:w="500" w:type="pct"/>
            <w:vMerge w:val="continue"/>
            <w:vAlign w:val="center"/>
          </w:tcPr>
          <w:p>
            <w:pPr>
              <w:widowControl/>
              <w:jc w:val="left"/>
              <w:rPr>
                <w:rFonts w:ascii="仿宋" w:hAnsi="仿宋" w:eastAsia="仿宋" w:cs="宋体"/>
                <w:bCs/>
                <w:color w:val="000000"/>
                <w:kern w:val="0"/>
                <w:sz w:val="22"/>
              </w:rPr>
            </w:pPr>
          </w:p>
        </w:tc>
        <w:tc>
          <w:tcPr>
            <w:tcW w:w="445" w:type="pct"/>
            <w:vMerge w:val="continue"/>
            <w:vAlign w:val="center"/>
          </w:tcPr>
          <w:p>
            <w:pPr>
              <w:widowControl/>
              <w:jc w:val="left"/>
              <w:rPr>
                <w:rFonts w:ascii="仿宋" w:hAnsi="仿宋" w:eastAsia="仿宋" w:cs="宋体"/>
                <w:bCs/>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已建高标准农田提质改造</w:t>
            </w:r>
          </w:p>
        </w:tc>
        <w:tc>
          <w:tcPr>
            <w:tcW w:w="363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安溪畲族乡安溪村等2村高标准农田提质改造项目</w:t>
            </w:r>
          </w:p>
        </w:tc>
        <w:tc>
          <w:tcPr>
            <w:tcW w:w="50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0.10 </w:t>
            </w:r>
          </w:p>
        </w:tc>
        <w:tc>
          <w:tcPr>
            <w:tcW w:w="44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widowControl/>
              <w:jc w:val="left"/>
              <w:rPr>
                <w:rFonts w:ascii="仿宋" w:hAnsi="仿宋" w:eastAsia="仿宋" w:cs="宋体"/>
                <w:bCs/>
                <w:color w:val="000000"/>
                <w:kern w:val="0"/>
                <w:sz w:val="22"/>
              </w:rPr>
            </w:pPr>
          </w:p>
        </w:tc>
        <w:tc>
          <w:tcPr>
            <w:tcW w:w="363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白龙山街道泓新村等2村高标准农田提质改造项目</w:t>
            </w:r>
          </w:p>
        </w:tc>
        <w:tc>
          <w:tcPr>
            <w:tcW w:w="50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0.04 </w:t>
            </w:r>
          </w:p>
        </w:tc>
        <w:tc>
          <w:tcPr>
            <w:tcW w:w="44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widowControl/>
              <w:jc w:val="left"/>
              <w:rPr>
                <w:rFonts w:ascii="仿宋" w:hAnsi="仿宋" w:eastAsia="仿宋" w:cs="宋体"/>
                <w:bCs/>
                <w:color w:val="000000"/>
                <w:kern w:val="0"/>
                <w:sz w:val="22"/>
              </w:rPr>
            </w:pPr>
          </w:p>
        </w:tc>
        <w:tc>
          <w:tcPr>
            <w:tcW w:w="363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崇头镇大湾村高标准农田提质改造项目</w:t>
            </w:r>
          </w:p>
        </w:tc>
        <w:tc>
          <w:tcPr>
            <w:tcW w:w="50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0.17 </w:t>
            </w:r>
          </w:p>
        </w:tc>
        <w:tc>
          <w:tcPr>
            <w:tcW w:w="44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widowControl/>
              <w:jc w:val="left"/>
              <w:rPr>
                <w:rFonts w:ascii="仿宋" w:hAnsi="仿宋" w:eastAsia="仿宋" w:cs="宋体"/>
                <w:bCs/>
                <w:color w:val="000000"/>
                <w:kern w:val="0"/>
                <w:sz w:val="22"/>
              </w:rPr>
            </w:pPr>
          </w:p>
        </w:tc>
        <w:tc>
          <w:tcPr>
            <w:tcW w:w="363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崇头镇后垟村等2村高标准农田提质改造项目</w:t>
            </w:r>
          </w:p>
        </w:tc>
        <w:tc>
          <w:tcPr>
            <w:tcW w:w="50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0.03 </w:t>
            </w:r>
          </w:p>
        </w:tc>
        <w:tc>
          <w:tcPr>
            <w:tcW w:w="44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widowControl/>
              <w:jc w:val="left"/>
              <w:rPr>
                <w:rFonts w:ascii="仿宋" w:hAnsi="仿宋" w:eastAsia="仿宋" w:cs="宋体"/>
                <w:bCs/>
                <w:color w:val="000000"/>
                <w:kern w:val="0"/>
                <w:sz w:val="22"/>
              </w:rPr>
            </w:pPr>
          </w:p>
        </w:tc>
        <w:tc>
          <w:tcPr>
            <w:tcW w:w="363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崇头镇梅源村等4村高标准农田提质改造项目</w:t>
            </w:r>
          </w:p>
        </w:tc>
        <w:tc>
          <w:tcPr>
            <w:tcW w:w="50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0.03 </w:t>
            </w:r>
          </w:p>
        </w:tc>
        <w:tc>
          <w:tcPr>
            <w:tcW w:w="44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widowControl/>
              <w:jc w:val="left"/>
              <w:rPr>
                <w:rFonts w:ascii="仿宋" w:hAnsi="仿宋" w:eastAsia="仿宋" w:cs="宋体"/>
                <w:bCs/>
                <w:color w:val="000000"/>
                <w:kern w:val="0"/>
                <w:sz w:val="22"/>
              </w:rPr>
            </w:pPr>
          </w:p>
        </w:tc>
        <w:tc>
          <w:tcPr>
            <w:tcW w:w="363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紧水滩镇大源村等2村高标准农田提质改造项目</w:t>
            </w:r>
          </w:p>
        </w:tc>
        <w:tc>
          <w:tcPr>
            <w:tcW w:w="50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0.03 </w:t>
            </w:r>
          </w:p>
        </w:tc>
        <w:tc>
          <w:tcPr>
            <w:tcW w:w="44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widowControl/>
              <w:jc w:val="left"/>
              <w:rPr>
                <w:rFonts w:ascii="仿宋" w:hAnsi="仿宋" w:eastAsia="仿宋" w:cs="宋体"/>
                <w:bCs/>
                <w:color w:val="000000"/>
                <w:kern w:val="0"/>
                <w:sz w:val="22"/>
              </w:rPr>
            </w:pPr>
          </w:p>
        </w:tc>
        <w:tc>
          <w:tcPr>
            <w:tcW w:w="363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紧水滩镇金水坑村等2村高标准农田提质改造项目</w:t>
            </w:r>
          </w:p>
        </w:tc>
        <w:tc>
          <w:tcPr>
            <w:tcW w:w="50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0.09 </w:t>
            </w:r>
          </w:p>
        </w:tc>
        <w:tc>
          <w:tcPr>
            <w:tcW w:w="44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widowControl/>
              <w:jc w:val="left"/>
              <w:rPr>
                <w:rFonts w:ascii="仿宋" w:hAnsi="仿宋" w:eastAsia="仿宋" w:cs="宋体"/>
                <w:bCs/>
                <w:color w:val="000000"/>
                <w:kern w:val="0"/>
                <w:sz w:val="22"/>
              </w:rPr>
            </w:pPr>
          </w:p>
        </w:tc>
        <w:tc>
          <w:tcPr>
            <w:tcW w:w="363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紧水滩镇龙门村高标准农田提质改造项目</w:t>
            </w:r>
          </w:p>
        </w:tc>
        <w:tc>
          <w:tcPr>
            <w:tcW w:w="50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0.05 </w:t>
            </w:r>
          </w:p>
        </w:tc>
        <w:tc>
          <w:tcPr>
            <w:tcW w:w="44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widowControl/>
              <w:jc w:val="left"/>
              <w:rPr>
                <w:rFonts w:ascii="仿宋" w:hAnsi="仿宋" w:eastAsia="仿宋" w:cs="宋体"/>
                <w:bCs/>
                <w:color w:val="000000"/>
                <w:kern w:val="0"/>
                <w:sz w:val="22"/>
              </w:rPr>
            </w:pPr>
          </w:p>
        </w:tc>
        <w:tc>
          <w:tcPr>
            <w:tcW w:w="363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石塘镇龙河村等3村高标准农田提质改造项目</w:t>
            </w:r>
          </w:p>
        </w:tc>
        <w:tc>
          <w:tcPr>
            <w:tcW w:w="50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0.11 </w:t>
            </w:r>
          </w:p>
        </w:tc>
        <w:tc>
          <w:tcPr>
            <w:tcW w:w="44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widowControl/>
              <w:jc w:val="left"/>
              <w:rPr>
                <w:rFonts w:ascii="仿宋" w:hAnsi="仿宋" w:eastAsia="仿宋" w:cs="宋体"/>
                <w:bCs/>
                <w:color w:val="000000"/>
                <w:kern w:val="0"/>
                <w:sz w:val="22"/>
              </w:rPr>
            </w:pPr>
          </w:p>
        </w:tc>
        <w:tc>
          <w:tcPr>
            <w:tcW w:w="363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元和街道梅湾村高标准农田提质改造项目</w:t>
            </w:r>
          </w:p>
        </w:tc>
        <w:tc>
          <w:tcPr>
            <w:tcW w:w="50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0.06 </w:t>
            </w:r>
          </w:p>
        </w:tc>
        <w:tc>
          <w:tcPr>
            <w:tcW w:w="44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vAlign w:val="center"/>
          </w:tcPr>
          <w:p>
            <w:pPr>
              <w:widowControl/>
              <w:jc w:val="left"/>
              <w:rPr>
                <w:rFonts w:ascii="仿宋" w:hAnsi="仿宋" w:eastAsia="仿宋" w:cs="宋体"/>
                <w:bCs/>
                <w:color w:val="000000"/>
                <w:kern w:val="0"/>
                <w:sz w:val="22"/>
              </w:rPr>
            </w:pPr>
          </w:p>
        </w:tc>
        <w:tc>
          <w:tcPr>
            <w:tcW w:w="363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50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0.73 </w:t>
            </w:r>
          </w:p>
        </w:tc>
        <w:tc>
          <w:tcPr>
            <w:tcW w:w="44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3650</w:t>
            </w:r>
          </w:p>
        </w:tc>
      </w:tr>
    </w:tbl>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（三）宜机化改造项目</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宜机化改造的主要实施内容：①地块互联互通。通过开挖回填土壤等工程措施，修建地块进出坡道、完善田间道路，实现相邻地块之间、地块与道路之间衔接顺畅，满足农业机械进出地块需要。②消除作业死角。对尖角、弯月形等影响农业机械作业的异形地块，进行开挖回填、截弯取直等整理，消除地面和耕层内影响机收作业的石块及其他障碍物，满足农业机械作业要求。③优化地块布局。地块小并大、短并长、弯变直，实现以条带状分布为主，延长机械作业线路，减少机械折返频次。④合理布局沟渠。根据改造后的地块坡向和其他相邻地块雨水排泄流向，合理布局沟渠。沟渠的修建应兼顾农业机械通行需要，深开主沟、背沟和围沟，少开或浅开厢沟和支沟。⑤土壤培肥熟化。地块改造前后，应分别对土壤表土层进行剥离和回填。通过秸秆还田、绿肥种植、粪肥施用等生态培肥方式，结合深松、旋耕等机械化措施，培肥熟化土壤，提升地力。</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计划开展宜机化改造项目</w:t>
      </w:r>
      <w:r>
        <w:rPr>
          <w:rFonts w:ascii="仿宋" w:hAnsi="仿宋" w:eastAsia="仿宋" w:cs="Times New Roman"/>
          <w:bCs/>
          <w:sz w:val="28"/>
          <w:szCs w:val="28"/>
        </w:rPr>
        <w:t>4</w:t>
      </w:r>
      <w:r>
        <w:rPr>
          <w:rFonts w:hint="eastAsia" w:ascii="仿宋" w:hAnsi="仿宋" w:eastAsia="仿宋" w:cs="Times New Roman"/>
          <w:bCs/>
          <w:sz w:val="28"/>
          <w:szCs w:val="28"/>
        </w:rPr>
        <w:t>个，总面积0.</w:t>
      </w:r>
      <w:r>
        <w:rPr>
          <w:rFonts w:ascii="仿宋" w:hAnsi="仿宋" w:eastAsia="仿宋" w:cs="Times New Roman"/>
          <w:bCs/>
          <w:sz w:val="28"/>
          <w:szCs w:val="28"/>
        </w:rPr>
        <w:t>21</w:t>
      </w:r>
      <w:r>
        <w:rPr>
          <w:rFonts w:hint="eastAsia" w:ascii="仿宋" w:hAnsi="仿宋" w:eastAsia="仿宋" w:cs="Times New Roman"/>
          <w:bCs/>
          <w:sz w:val="28"/>
          <w:szCs w:val="28"/>
        </w:rPr>
        <w:t>万亩，位于崇头镇崇头村、梅源村，凤凰山街道贵溪村，石塘镇规溪村，总投资约</w:t>
      </w:r>
      <w:r>
        <w:rPr>
          <w:rFonts w:ascii="仿宋" w:hAnsi="仿宋" w:eastAsia="仿宋" w:cs="Times New Roman"/>
          <w:bCs/>
          <w:sz w:val="28"/>
          <w:szCs w:val="28"/>
        </w:rPr>
        <w:t>1260</w:t>
      </w:r>
      <w:r>
        <w:rPr>
          <w:rFonts w:hint="eastAsia" w:ascii="仿宋" w:hAnsi="仿宋" w:eastAsia="仿宋" w:cs="Times New Roman"/>
          <w:bCs/>
          <w:sz w:val="28"/>
          <w:szCs w:val="28"/>
        </w:rPr>
        <w:t>万元。详见下表：</w:t>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表</w:t>
      </w:r>
      <w:r>
        <w:rPr>
          <w:rFonts w:ascii="仿宋" w:hAnsi="仿宋" w:eastAsia="仿宋" w:cs="Times New Roman"/>
          <w:bCs/>
          <w:sz w:val="24"/>
          <w:szCs w:val="28"/>
        </w:rPr>
        <w:t>4-3</w:t>
      </w:r>
      <w:r>
        <w:rPr>
          <w:rFonts w:hint="eastAsia" w:ascii="仿宋" w:hAnsi="仿宋" w:eastAsia="仿宋" w:cs="Times New Roman"/>
          <w:bCs/>
          <w:sz w:val="24"/>
          <w:szCs w:val="28"/>
        </w:rPr>
        <w:t>云和县高标准农田建设“十四五”规划宜机化改造建设项目表</w:t>
      </w:r>
    </w:p>
    <w:p>
      <w:pPr>
        <w:ind w:firstLine="555"/>
        <w:jc w:val="right"/>
        <w:rPr>
          <w:rFonts w:ascii="仿宋" w:hAnsi="仿宋" w:eastAsia="仿宋" w:cs="Times New Roman"/>
          <w:bCs/>
          <w:sz w:val="22"/>
          <w:szCs w:val="28"/>
        </w:rPr>
      </w:pPr>
      <w:r>
        <w:rPr>
          <w:rFonts w:hint="eastAsia" w:ascii="仿宋" w:hAnsi="仿宋" w:eastAsia="仿宋" w:cs="Times New Roman"/>
          <w:bCs/>
          <w:sz w:val="22"/>
          <w:szCs w:val="28"/>
        </w:rPr>
        <w:t>单位：万亩、万元</w:t>
      </w:r>
    </w:p>
    <w:tbl>
      <w:tblPr>
        <w:tblStyle w:val="85"/>
        <w:tblW w:w="48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4725"/>
        <w:gridCol w:w="87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0"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类型</w:t>
            </w:r>
          </w:p>
        </w:tc>
        <w:tc>
          <w:tcPr>
            <w:tcW w:w="2837"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项目名称</w:t>
            </w:r>
          </w:p>
        </w:tc>
        <w:tc>
          <w:tcPr>
            <w:tcW w:w="522"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规模</w:t>
            </w:r>
          </w:p>
        </w:tc>
        <w:tc>
          <w:tcPr>
            <w:tcW w:w="85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0"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宜机化改造</w:t>
            </w:r>
          </w:p>
        </w:tc>
        <w:tc>
          <w:tcPr>
            <w:tcW w:w="2837"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崇头镇崇头村农田宜机化改造项目</w:t>
            </w:r>
          </w:p>
        </w:tc>
        <w:tc>
          <w:tcPr>
            <w:tcW w:w="522"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0.07</w:t>
            </w:r>
          </w:p>
        </w:tc>
        <w:tc>
          <w:tcPr>
            <w:tcW w:w="851"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0" w:type="pct"/>
            <w:vMerge w:val="continue"/>
            <w:vAlign w:val="center"/>
          </w:tcPr>
          <w:p>
            <w:pPr>
              <w:widowControl/>
              <w:jc w:val="left"/>
              <w:rPr>
                <w:rFonts w:ascii="仿宋" w:hAnsi="仿宋" w:eastAsia="仿宋" w:cs="宋体"/>
                <w:bCs/>
                <w:color w:val="000000"/>
                <w:kern w:val="0"/>
                <w:sz w:val="22"/>
              </w:rPr>
            </w:pPr>
          </w:p>
        </w:tc>
        <w:tc>
          <w:tcPr>
            <w:tcW w:w="2837"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崇头镇梅源村农田宜机化改造项目</w:t>
            </w:r>
          </w:p>
        </w:tc>
        <w:tc>
          <w:tcPr>
            <w:tcW w:w="522"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0.05</w:t>
            </w:r>
          </w:p>
        </w:tc>
        <w:tc>
          <w:tcPr>
            <w:tcW w:w="851"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0" w:type="pct"/>
            <w:vMerge w:val="continue"/>
            <w:vAlign w:val="center"/>
          </w:tcPr>
          <w:p>
            <w:pPr>
              <w:widowControl/>
              <w:jc w:val="left"/>
              <w:rPr>
                <w:rFonts w:ascii="仿宋" w:hAnsi="仿宋" w:eastAsia="仿宋" w:cs="宋体"/>
                <w:bCs/>
                <w:color w:val="000000"/>
                <w:kern w:val="0"/>
                <w:sz w:val="22"/>
              </w:rPr>
            </w:pPr>
          </w:p>
        </w:tc>
        <w:tc>
          <w:tcPr>
            <w:tcW w:w="2837"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凤凰山街道贵溪村农田宜机化改造项目</w:t>
            </w:r>
          </w:p>
        </w:tc>
        <w:tc>
          <w:tcPr>
            <w:tcW w:w="522"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0.07</w:t>
            </w:r>
          </w:p>
        </w:tc>
        <w:tc>
          <w:tcPr>
            <w:tcW w:w="85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4</w:t>
            </w:r>
            <w:r>
              <w:rPr>
                <w:rFonts w:ascii="仿宋" w:hAnsi="仿宋" w:eastAsia="仿宋" w:cs="宋体"/>
                <w:bCs/>
                <w:color w:val="000000"/>
                <w:kern w:val="0"/>
                <w:sz w:val="2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0" w:type="pct"/>
            <w:vMerge w:val="continue"/>
            <w:vAlign w:val="center"/>
          </w:tcPr>
          <w:p>
            <w:pPr>
              <w:widowControl/>
              <w:jc w:val="left"/>
              <w:rPr>
                <w:rFonts w:ascii="仿宋" w:hAnsi="仿宋" w:eastAsia="仿宋" w:cs="宋体"/>
                <w:bCs/>
                <w:color w:val="000000"/>
                <w:kern w:val="0"/>
                <w:sz w:val="22"/>
              </w:rPr>
            </w:pPr>
          </w:p>
        </w:tc>
        <w:tc>
          <w:tcPr>
            <w:tcW w:w="2837"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石塘镇规溪村农田宜机化改造项目</w:t>
            </w:r>
          </w:p>
        </w:tc>
        <w:tc>
          <w:tcPr>
            <w:tcW w:w="522"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0.02</w:t>
            </w:r>
          </w:p>
        </w:tc>
        <w:tc>
          <w:tcPr>
            <w:tcW w:w="85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1</w:t>
            </w:r>
            <w:r>
              <w:rPr>
                <w:rFonts w:ascii="仿宋" w:hAnsi="仿宋" w:eastAsia="仿宋" w:cs="宋体"/>
                <w:bCs/>
                <w:color w:val="000000"/>
                <w:kern w:val="0"/>
                <w:sz w:val="22"/>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90" w:type="pct"/>
            <w:vMerge w:val="continue"/>
            <w:vAlign w:val="center"/>
          </w:tcPr>
          <w:p>
            <w:pPr>
              <w:widowControl/>
              <w:jc w:val="left"/>
              <w:rPr>
                <w:rFonts w:ascii="仿宋" w:hAnsi="仿宋" w:eastAsia="仿宋" w:cs="宋体"/>
                <w:bCs/>
                <w:color w:val="000000"/>
                <w:kern w:val="0"/>
                <w:sz w:val="22"/>
              </w:rPr>
            </w:pPr>
          </w:p>
        </w:tc>
        <w:tc>
          <w:tcPr>
            <w:tcW w:w="2837"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522" w:type="pct"/>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0.21</w:t>
            </w:r>
          </w:p>
        </w:tc>
        <w:tc>
          <w:tcPr>
            <w:tcW w:w="851"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1260</w:t>
            </w:r>
          </w:p>
        </w:tc>
      </w:tr>
    </w:tbl>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（四）高效节水灌溉项目</w:t>
      </w:r>
      <w:r>
        <w:rPr>
          <w:rFonts w:ascii="仿宋" w:hAnsi="仿宋" w:eastAsia="仿宋" w:cs="Times New Roman"/>
          <w:bCs/>
          <w:sz w:val="28"/>
          <w:szCs w:val="28"/>
        </w:rPr>
        <w:t xml:space="preserve"> </w:t>
      </w:r>
    </w:p>
    <w:p>
      <w:pPr>
        <w:ind w:firstLine="560" w:firstLineChars="200"/>
        <w:rPr>
          <w:rFonts w:ascii="仿宋" w:hAnsi="仿宋" w:eastAsia="仿宋" w:cs="Times New Roman"/>
          <w:bCs/>
          <w:sz w:val="28"/>
          <w:szCs w:val="28"/>
        </w:rPr>
      </w:pPr>
      <w:r>
        <w:rPr>
          <w:rFonts w:hint="eastAsia" w:ascii="仿宋" w:hAnsi="仿宋" w:eastAsia="仿宋" w:cs="Times New Roman"/>
          <w:bCs/>
          <w:sz w:val="28"/>
          <w:szCs w:val="28"/>
        </w:rPr>
        <w:t>以泵站、小型水源设施和地下管道灌溉（含首部枢纽及管网系统以及田间配套设施，包括墒情监测系统、量水设施等）为主要建设内容，在水田新建或改造管道灌溉工程，提高土地利用率和灌溉水利用效率</w:t>
      </w:r>
      <w:r>
        <w:rPr>
          <w:rFonts w:ascii="仿宋" w:hAnsi="仿宋" w:eastAsia="仿宋" w:cs="Times New Roman"/>
          <w:bCs/>
          <w:sz w:val="28"/>
          <w:szCs w:val="28"/>
        </w:rPr>
        <w:t>。</w:t>
      </w:r>
      <w:r>
        <w:rPr>
          <w:rFonts w:hint="eastAsia" w:ascii="仿宋" w:hAnsi="仿宋" w:eastAsia="仿宋" w:cs="Times New Roman"/>
          <w:bCs/>
          <w:sz w:val="28"/>
          <w:szCs w:val="28"/>
        </w:rPr>
        <w:t>规划在元和街道、石滩镇建设高效节水灌溉农田0</w:t>
      </w:r>
      <w:r>
        <w:rPr>
          <w:rFonts w:ascii="仿宋" w:hAnsi="仿宋" w:eastAsia="仿宋" w:cs="Times New Roman"/>
          <w:bCs/>
          <w:sz w:val="28"/>
          <w:szCs w:val="28"/>
        </w:rPr>
        <w:t>.04</w:t>
      </w:r>
      <w:r>
        <w:rPr>
          <w:rFonts w:hint="eastAsia" w:ascii="仿宋" w:hAnsi="仿宋" w:eastAsia="仿宋" w:cs="Times New Roman"/>
          <w:bCs/>
          <w:sz w:val="28"/>
          <w:szCs w:val="28"/>
        </w:rPr>
        <w:t>万</w:t>
      </w:r>
      <w:r>
        <w:rPr>
          <w:rFonts w:ascii="仿宋" w:hAnsi="仿宋" w:eastAsia="仿宋" w:cs="Times New Roman"/>
          <w:bCs/>
          <w:sz w:val="28"/>
          <w:szCs w:val="28"/>
        </w:rPr>
        <w:t>亩</w:t>
      </w:r>
      <w:r>
        <w:rPr>
          <w:rFonts w:hint="eastAsia" w:ascii="仿宋" w:hAnsi="仿宋" w:eastAsia="仿宋" w:cs="Times New Roman"/>
          <w:bCs/>
          <w:sz w:val="28"/>
          <w:szCs w:val="28"/>
        </w:rPr>
        <w:t>，总投资约为</w:t>
      </w:r>
      <w:r>
        <w:rPr>
          <w:rFonts w:ascii="仿宋" w:hAnsi="仿宋" w:eastAsia="仿宋" w:cs="Times New Roman"/>
          <w:bCs/>
          <w:sz w:val="28"/>
          <w:szCs w:val="28"/>
        </w:rPr>
        <w:t>80</w:t>
      </w:r>
      <w:r>
        <w:rPr>
          <w:rFonts w:hint="eastAsia" w:ascii="仿宋" w:hAnsi="仿宋" w:eastAsia="仿宋" w:cs="Times New Roman"/>
          <w:bCs/>
          <w:sz w:val="28"/>
          <w:szCs w:val="28"/>
        </w:rPr>
        <w:t>万元</w:t>
      </w:r>
      <w:r>
        <w:rPr>
          <w:rFonts w:ascii="仿宋" w:hAnsi="仿宋" w:eastAsia="仿宋" w:cs="Times New Roman"/>
          <w:bCs/>
          <w:sz w:val="28"/>
          <w:szCs w:val="28"/>
        </w:rPr>
        <w:t xml:space="preserve"> </w:t>
      </w:r>
      <w:r>
        <w:rPr>
          <w:rFonts w:hint="eastAsia" w:ascii="仿宋" w:hAnsi="仿宋" w:eastAsia="仿宋" w:cs="Times New Roman"/>
          <w:bCs/>
          <w:sz w:val="28"/>
          <w:szCs w:val="28"/>
        </w:rPr>
        <w:t>。</w:t>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表</w:t>
      </w:r>
      <w:r>
        <w:rPr>
          <w:rFonts w:ascii="仿宋" w:hAnsi="仿宋" w:eastAsia="仿宋" w:cs="Times New Roman"/>
          <w:bCs/>
          <w:sz w:val="24"/>
          <w:szCs w:val="28"/>
        </w:rPr>
        <w:t>4-4</w:t>
      </w:r>
      <w:r>
        <w:rPr>
          <w:rFonts w:hint="eastAsia" w:ascii="仿宋" w:hAnsi="仿宋" w:eastAsia="仿宋" w:cs="Times New Roman"/>
          <w:bCs/>
          <w:sz w:val="24"/>
          <w:szCs w:val="28"/>
        </w:rPr>
        <w:t>云和县高标准农田建设“十四五”规划高效节水灌溉建设项目表</w:t>
      </w:r>
    </w:p>
    <w:p>
      <w:pPr>
        <w:ind w:firstLine="555"/>
        <w:jc w:val="right"/>
        <w:rPr>
          <w:rFonts w:ascii="仿宋" w:hAnsi="仿宋" w:eastAsia="仿宋" w:cs="Times New Roman"/>
          <w:bCs/>
          <w:sz w:val="22"/>
          <w:szCs w:val="28"/>
        </w:rPr>
      </w:pPr>
      <w:r>
        <w:rPr>
          <w:rFonts w:hint="eastAsia" w:ascii="仿宋" w:hAnsi="仿宋" w:eastAsia="仿宋" w:cs="Times New Roman"/>
          <w:bCs/>
          <w:sz w:val="22"/>
          <w:szCs w:val="28"/>
        </w:rPr>
        <w:t>单位：万亩、万元</w:t>
      </w:r>
    </w:p>
    <w:tbl>
      <w:tblPr>
        <w:tblStyle w:val="85"/>
        <w:tblW w:w="5000" w:type="pct"/>
        <w:tblInd w:w="0" w:type="dxa"/>
        <w:tblLayout w:type="autofit"/>
        <w:tblCellMar>
          <w:top w:w="0" w:type="dxa"/>
          <w:left w:w="108" w:type="dxa"/>
          <w:bottom w:w="0" w:type="dxa"/>
          <w:right w:w="108" w:type="dxa"/>
        </w:tblCellMar>
      </w:tblPr>
      <w:tblGrid>
        <w:gridCol w:w="1353"/>
        <w:gridCol w:w="4852"/>
        <w:gridCol w:w="1158"/>
        <w:gridCol w:w="1159"/>
      </w:tblGrid>
      <w:tr>
        <w:tblPrEx>
          <w:tblCellMar>
            <w:top w:w="0" w:type="dxa"/>
            <w:left w:w="108" w:type="dxa"/>
            <w:bottom w:w="0" w:type="dxa"/>
            <w:right w:w="108" w:type="dxa"/>
          </w:tblCellMar>
        </w:tblPrEx>
        <w:trPr>
          <w:trHeight w:val="300" w:hRule="atLeast"/>
        </w:trPr>
        <w:tc>
          <w:tcPr>
            <w:tcW w:w="794" w:type="pct"/>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类型</w:t>
            </w:r>
          </w:p>
        </w:tc>
        <w:tc>
          <w:tcPr>
            <w:tcW w:w="2846" w:type="pct"/>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项目名称</w:t>
            </w:r>
          </w:p>
        </w:tc>
        <w:tc>
          <w:tcPr>
            <w:tcW w:w="679" w:type="pct"/>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规模</w:t>
            </w:r>
          </w:p>
        </w:tc>
        <w:tc>
          <w:tcPr>
            <w:tcW w:w="680" w:type="pct"/>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预算</w:t>
            </w:r>
          </w:p>
        </w:tc>
      </w:tr>
      <w:tr>
        <w:tblPrEx>
          <w:tblCellMar>
            <w:top w:w="0" w:type="dxa"/>
            <w:left w:w="108" w:type="dxa"/>
            <w:bottom w:w="0" w:type="dxa"/>
            <w:right w:w="108" w:type="dxa"/>
          </w:tblCellMar>
        </w:tblPrEx>
        <w:trPr>
          <w:trHeight w:val="300" w:hRule="atLeast"/>
        </w:trPr>
        <w:tc>
          <w:tcPr>
            <w:tcW w:w="794"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宜机化改造</w:t>
            </w:r>
          </w:p>
        </w:tc>
        <w:tc>
          <w:tcPr>
            <w:tcW w:w="2846"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元和街道小徐村高效节水灌溉项目</w:t>
            </w:r>
          </w:p>
        </w:tc>
        <w:tc>
          <w:tcPr>
            <w:tcW w:w="679"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0.03</w:t>
            </w:r>
          </w:p>
        </w:tc>
        <w:tc>
          <w:tcPr>
            <w:tcW w:w="68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60</w:t>
            </w:r>
          </w:p>
        </w:tc>
      </w:tr>
      <w:tr>
        <w:tblPrEx>
          <w:tblCellMar>
            <w:top w:w="0" w:type="dxa"/>
            <w:left w:w="108" w:type="dxa"/>
            <w:bottom w:w="0" w:type="dxa"/>
            <w:right w:w="108" w:type="dxa"/>
          </w:tblCellMar>
        </w:tblPrEx>
        <w:trPr>
          <w:trHeight w:val="300" w:hRule="atLeast"/>
        </w:trPr>
        <w:tc>
          <w:tcPr>
            <w:tcW w:w="794" w:type="pct"/>
            <w:vMerge w:val="continue"/>
            <w:tcBorders>
              <w:top w:val="nil"/>
              <w:left w:val="single" w:color="auto" w:sz="8" w:space="0"/>
              <w:bottom w:val="single" w:color="000000" w:sz="8" w:space="0"/>
              <w:right w:val="single" w:color="auto" w:sz="8" w:space="0"/>
            </w:tcBorders>
            <w:vAlign w:val="center"/>
          </w:tcPr>
          <w:p>
            <w:pPr>
              <w:widowControl/>
              <w:jc w:val="left"/>
              <w:rPr>
                <w:rFonts w:ascii="仿宋" w:hAnsi="仿宋" w:eastAsia="仿宋" w:cs="宋体"/>
                <w:bCs/>
                <w:color w:val="000000"/>
                <w:kern w:val="0"/>
                <w:sz w:val="22"/>
              </w:rPr>
            </w:pPr>
          </w:p>
        </w:tc>
        <w:tc>
          <w:tcPr>
            <w:tcW w:w="2846"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石塘镇朱村村高效节水灌溉项目</w:t>
            </w:r>
          </w:p>
        </w:tc>
        <w:tc>
          <w:tcPr>
            <w:tcW w:w="679"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0.0</w:t>
            </w:r>
            <w:r>
              <w:rPr>
                <w:rFonts w:ascii="仿宋" w:hAnsi="仿宋" w:eastAsia="仿宋" w:cs="宋体"/>
                <w:bCs/>
                <w:color w:val="000000"/>
                <w:kern w:val="0"/>
                <w:sz w:val="22"/>
              </w:rPr>
              <w:t>1</w:t>
            </w:r>
          </w:p>
        </w:tc>
        <w:tc>
          <w:tcPr>
            <w:tcW w:w="68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w:t>
            </w:r>
            <w:r>
              <w:rPr>
                <w:rFonts w:ascii="仿宋" w:hAnsi="仿宋" w:eastAsia="仿宋" w:cs="宋体"/>
                <w:bCs/>
                <w:color w:val="000000"/>
                <w:kern w:val="0"/>
                <w:sz w:val="22"/>
              </w:rPr>
              <w:t>0</w:t>
            </w:r>
          </w:p>
        </w:tc>
      </w:tr>
      <w:tr>
        <w:tblPrEx>
          <w:tblCellMar>
            <w:top w:w="0" w:type="dxa"/>
            <w:left w:w="108" w:type="dxa"/>
            <w:bottom w:w="0" w:type="dxa"/>
            <w:right w:w="108" w:type="dxa"/>
          </w:tblCellMar>
        </w:tblPrEx>
        <w:trPr>
          <w:trHeight w:val="300" w:hRule="atLeast"/>
        </w:trPr>
        <w:tc>
          <w:tcPr>
            <w:tcW w:w="794" w:type="pct"/>
            <w:vMerge w:val="continue"/>
            <w:tcBorders>
              <w:top w:val="nil"/>
              <w:left w:val="single" w:color="auto" w:sz="8" w:space="0"/>
              <w:bottom w:val="single" w:color="000000" w:sz="8" w:space="0"/>
              <w:right w:val="single" w:color="auto" w:sz="8" w:space="0"/>
            </w:tcBorders>
            <w:vAlign w:val="center"/>
          </w:tcPr>
          <w:p>
            <w:pPr>
              <w:widowControl/>
              <w:jc w:val="left"/>
              <w:rPr>
                <w:rFonts w:ascii="仿宋" w:hAnsi="仿宋" w:eastAsia="仿宋" w:cs="宋体"/>
                <w:bCs/>
                <w:color w:val="000000"/>
                <w:kern w:val="0"/>
                <w:sz w:val="22"/>
              </w:rPr>
            </w:pPr>
          </w:p>
        </w:tc>
        <w:tc>
          <w:tcPr>
            <w:tcW w:w="2846"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679" w:type="pct"/>
            <w:tcBorders>
              <w:top w:val="nil"/>
              <w:left w:val="nil"/>
              <w:bottom w:val="single" w:color="auto" w:sz="8" w:space="0"/>
              <w:right w:val="single" w:color="auto" w:sz="8"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0.0</w:t>
            </w:r>
            <w:r>
              <w:rPr>
                <w:rFonts w:ascii="仿宋" w:hAnsi="仿宋" w:eastAsia="仿宋" w:cs="宋体"/>
                <w:bCs/>
                <w:color w:val="000000"/>
                <w:kern w:val="0"/>
                <w:sz w:val="22"/>
              </w:rPr>
              <w:t>4</w:t>
            </w:r>
          </w:p>
        </w:tc>
        <w:tc>
          <w:tcPr>
            <w:tcW w:w="68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8</w:t>
            </w:r>
            <w:r>
              <w:rPr>
                <w:rFonts w:ascii="仿宋" w:hAnsi="仿宋" w:eastAsia="仿宋" w:cs="宋体"/>
                <w:bCs/>
                <w:color w:val="000000"/>
                <w:kern w:val="0"/>
                <w:sz w:val="22"/>
              </w:rPr>
              <w:t>0</w:t>
            </w:r>
          </w:p>
        </w:tc>
      </w:tr>
    </w:tbl>
    <w:p>
      <w:pPr>
        <w:ind w:firstLine="555"/>
        <w:rPr>
          <w:rFonts w:ascii="仿宋" w:hAnsi="仿宋" w:eastAsia="仿宋" w:cs="Times New Roman"/>
          <w:bCs/>
          <w:kern w:val="44"/>
          <w:sz w:val="36"/>
          <w:szCs w:val="36"/>
        </w:rPr>
      </w:pPr>
      <w:r>
        <w:rPr>
          <w:rFonts w:ascii="仿宋" w:hAnsi="仿宋" w:eastAsia="仿宋" w:cs="Times New Roman"/>
          <w:bCs/>
          <w:sz w:val="28"/>
          <w:szCs w:val="28"/>
        </w:rPr>
        <w:br w:type="page"/>
      </w:r>
      <w:bookmarkStart w:id="36" w:name="_Toc95983082"/>
    </w:p>
    <w:p>
      <w:pPr>
        <w:keepNext/>
        <w:keepLines/>
        <w:tabs>
          <w:tab w:val="left" w:pos="2700"/>
        </w:tabs>
        <w:spacing w:before="340" w:after="330" w:line="578" w:lineRule="auto"/>
        <w:jc w:val="center"/>
        <w:outlineLvl w:val="0"/>
        <w:rPr>
          <w:rFonts w:ascii="仿宋" w:hAnsi="仿宋" w:eastAsia="仿宋" w:cs="Times New Roman"/>
          <w:b/>
          <w:kern w:val="44"/>
          <w:sz w:val="36"/>
          <w:szCs w:val="36"/>
        </w:rPr>
      </w:pPr>
      <w:bookmarkStart w:id="37" w:name="_Toc99549043"/>
      <w:r>
        <w:rPr>
          <w:rFonts w:hint="eastAsia" w:ascii="仿宋" w:hAnsi="仿宋" w:eastAsia="仿宋" w:cs="Times New Roman"/>
          <w:b/>
          <w:kern w:val="44"/>
          <w:sz w:val="36"/>
          <w:szCs w:val="36"/>
        </w:rPr>
        <w:t xml:space="preserve">第五章 </w:t>
      </w:r>
      <w:r>
        <w:rPr>
          <w:rFonts w:ascii="仿宋" w:hAnsi="仿宋" w:eastAsia="仿宋" w:cs="Times New Roman"/>
          <w:b/>
          <w:kern w:val="44"/>
          <w:sz w:val="36"/>
          <w:szCs w:val="36"/>
        </w:rPr>
        <w:t xml:space="preserve"> </w:t>
      </w:r>
      <w:r>
        <w:rPr>
          <w:rFonts w:hint="eastAsia" w:ascii="仿宋" w:hAnsi="仿宋" w:eastAsia="仿宋" w:cs="Times New Roman"/>
          <w:b/>
          <w:kern w:val="44"/>
          <w:sz w:val="36"/>
          <w:szCs w:val="36"/>
        </w:rPr>
        <w:t>投资估算与资金筹措</w:t>
      </w:r>
      <w:bookmarkEnd w:id="36"/>
      <w:bookmarkEnd w:id="37"/>
    </w:p>
    <w:p>
      <w:pPr>
        <w:keepNext/>
        <w:keepLines/>
        <w:spacing w:before="260" w:after="260" w:line="416" w:lineRule="auto"/>
        <w:jc w:val="left"/>
        <w:outlineLvl w:val="1"/>
        <w:rPr>
          <w:rFonts w:ascii="仿宋" w:hAnsi="仿宋" w:eastAsia="仿宋" w:cs="Times New Roman"/>
          <w:b/>
          <w:sz w:val="30"/>
          <w:szCs w:val="30"/>
        </w:rPr>
      </w:pPr>
      <w:bookmarkStart w:id="38" w:name="_Toc99549044"/>
      <w:bookmarkStart w:id="39" w:name="_Toc95983083"/>
      <w:r>
        <w:rPr>
          <w:rFonts w:hint="eastAsia" w:ascii="仿宋" w:hAnsi="仿宋" w:eastAsia="仿宋" w:cs="Times New Roman"/>
          <w:b/>
          <w:sz w:val="30"/>
          <w:szCs w:val="30"/>
        </w:rPr>
        <w:t>一、投资估算</w:t>
      </w:r>
      <w:bookmarkEnd w:id="38"/>
      <w:bookmarkEnd w:id="39"/>
    </w:p>
    <w:p>
      <w:pPr>
        <w:ind w:firstLine="555"/>
        <w:rPr>
          <w:rFonts w:ascii="仿宋" w:hAnsi="仿宋" w:eastAsia="仿宋" w:cs="Times New Roman"/>
          <w:bCs/>
          <w:sz w:val="28"/>
          <w:szCs w:val="28"/>
        </w:rPr>
      </w:pPr>
      <w:r>
        <w:rPr>
          <w:rFonts w:hint="eastAsia" w:ascii="仿宋" w:hAnsi="仿宋" w:eastAsia="仿宋" w:cs="Times New Roman"/>
          <w:bCs/>
          <w:sz w:val="28"/>
          <w:szCs w:val="28"/>
        </w:rPr>
        <w:t>云和县高标准农田规划对已建高标准农田进行提质改造</w:t>
      </w:r>
      <w:r>
        <w:rPr>
          <w:rFonts w:ascii="仿宋" w:hAnsi="仿宋" w:eastAsia="仿宋" w:cs="Times New Roman"/>
          <w:bCs/>
          <w:sz w:val="28"/>
          <w:szCs w:val="28"/>
        </w:rPr>
        <w:t>0.73</w:t>
      </w:r>
      <w:r>
        <w:rPr>
          <w:rFonts w:hint="eastAsia" w:ascii="仿宋" w:hAnsi="仿宋" w:eastAsia="仿宋" w:cs="Times New Roman"/>
          <w:bCs/>
          <w:sz w:val="28"/>
          <w:szCs w:val="28"/>
        </w:rPr>
        <w:t>万亩，每亩计划投资</w:t>
      </w:r>
      <w:r>
        <w:rPr>
          <w:rFonts w:ascii="仿宋" w:hAnsi="仿宋" w:eastAsia="仿宋" w:cs="Times New Roman"/>
          <w:bCs/>
          <w:sz w:val="28"/>
          <w:szCs w:val="28"/>
        </w:rPr>
        <w:t>5000</w:t>
      </w:r>
      <w:r>
        <w:rPr>
          <w:rFonts w:hint="eastAsia" w:ascii="仿宋" w:hAnsi="仿宋" w:eastAsia="仿宋" w:cs="Times New Roman"/>
          <w:bCs/>
          <w:sz w:val="28"/>
          <w:szCs w:val="28"/>
        </w:rPr>
        <w:t>元，估算投资</w:t>
      </w:r>
      <w:r>
        <w:rPr>
          <w:rFonts w:ascii="仿宋" w:hAnsi="仿宋" w:eastAsia="仿宋" w:cs="Times New Roman"/>
          <w:bCs/>
          <w:sz w:val="28"/>
          <w:szCs w:val="28"/>
        </w:rPr>
        <w:t>3650</w:t>
      </w:r>
      <w:r>
        <w:rPr>
          <w:rFonts w:hint="eastAsia" w:ascii="仿宋" w:hAnsi="仿宋" w:eastAsia="仿宋" w:cs="Times New Roman"/>
          <w:bCs/>
          <w:sz w:val="28"/>
          <w:szCs w:val="28"/>
        </w:rPr>
        <w:t>万元；建设绿色农田</w:t>
      </w:r>
      <w:r>
        <w:rPr>
          <w:rFonts w:ascii="仿宋" w:hAnsi="仿宋" w:eastAsia="仿宋" w:cs="Times New Roman"/>
          <w:bCs/>
          <w:sz w:val="28"/>
          <w:szCs w:val="28"/>
        </w:rPr>
        <w:t>0.21</w:t>
      </w:r>
      <w:r>
        <w:rPr>
          <w:rFonts w:hint="eastAsia" w:ascii="仿宋" w:hAnsi="仿宋" w:eastAsia="仿宋" w:cs="Times New Roman"/>
          <w:bCs/>
          <w:sz w:val="28"/>
          <w:szCs w:val="28"/>
        </w:rPr>
        <w:t>万亩，每亩计划投资</w:t>
      </w:r>
      <w:r>
        <w:rPr>
          <w:rFonts w:ascii="仿宋" w:hAnsi="仿宋" w:eastAsia="仿宋" w:cs="Times New Roman"/>
          <w:bCs/>
          <w:sz w:val="28"/>
          <w:szCs w:val="28"/>
        </w:rPr>
        <w:t>5000</w:t>
      </w:r>
      <w:r>
        <w:rPr>
          <w:rFonts w:hint="eastAsia" w:ascii="仿宋" w:hAnsi="仿宋" w:eastAsia="仿宋" w:cs="Times New Roman"/>
          <w:bCs/>
          <w:sz w:val="28"/>
          <w:szCs w:val="28"/>
        </w:rPr>
        <w:t>元，估算投资</w:t>
      </w:r>
      <w:r>
        <w:rPr>
          <w:rFonts w:ascii="仿宋" w:hAnsi="仿宋" w:eastAsia="仿宋" w:cs="Times New Roman"/>
          <w:bCs/>
          <w:sz w:val="28"/>
          <w:szCs w:val="28"/>
        </w:rPr>
        <w:t>1050</w:t>
      </w:r>
      <w:r>
        <w:rPr>
          <w:rFonts w:hint="eastAsia" w:ascii="仿宋" w:hAnsi="仿宋" w:eastAsia="仿宋" w:cs="Times New Roman"/>
          <w:bCs/>
          <w:sz w:val="28"/>
          <w:szCs w:val="28"/>
        </w:rPr>
        <w:t>万元；开展宜机化改造</w:t>
      </w:r>
      <w:r>
        <w:rPr>
          <w:rFonts w:ascii="仿宋" w:hAnsi="仿宋" w:eastAsia="仿宋" w:cs="Times New Roman"/>
          <w:bCs/>
          <w:sz w:val="28"/>
          <w:szCs w:val="28"/>
        </w:rPr>
        <w:t>0.21</w:t>
      </w:r>
      <w:r>
        <w:rPr>
          <w:rFonts w:hint="eastAsia" w:ascii="仿宋" w:hAnsi="仿宋" w:eastAsia="仿宋" w:cs="Times New Roman"/>
          <w:bCs/>
          <w:sz w:val="28"/>
          <w:szCs w:val="28"/>
        </w:rPr>
        <w:t>万亩，每亩计划投资</w:t>
      </w:r>
      <w:r>
        <w:rPr>
          <w:rFonts w:ascii="仿宋" w:hAnsi="仿宋" w:eastAsia="仿宋" w:cs="Times New Roman"/>
          <w:bCs/>
          <w:sz w:val="28"/>
          <w:szCs w:val="28"/>
        </w:rPr>
        <w:t>6000</w:t>
      </w:r>
      <w:r>
        <w:rPr>
          <w:rFonts w:hint="eastAsia" w:ascii="仿宋" w:hAnsi="仿宋" w:eastAsia="仿宋" w:cs="Times New Roman"/>
          <w:bCs/>
          <w:sz w:val="28"/>
          <w:szCs w:val="28"/>
        </w:rPr>
        <w:t>元，估算投资</w:t>
      </w:r>
      <w:r>
        <w:rPr>
          <w:rFonts w:ascii="仿宋" w:hAnsi="仿宋" w:eastAsia="仿宋" w:cs="Times New Roman"/>
          <w:bCs/>
          <w:sz w:val="28"/>
          <w:szCs w:val="28"/>
        </w:rPr>
        <w:t>1260</w:t>
      </w:r>
      <w:r>
        <w:rPr>
          <w:rFonts w:hint="eastAsia" w:ascii="仿宋" w:hAnsi="仿宋" w:eastAsia="仿宋" w:cs="Times New Roman"/>
          <w:bCs/>
          <w:sz w:val="28"/>
          <w:szCs w:val="28"/>
        </w:rPr>
        <w:t>万元；高效节水灌溉建设0</w:t>
      </w:r>
      <w:r>
        <w:rPr>
          <w:rFonts w:ascii="仿宋" w:hAnsi="仿宋" w:eastAsia="仿宋" w:cs="Times New Roman"/>
          <w:bCs/>
          <w:sz w:val="28"/>
          <w:szCs w:val="28"/>
        </w:rPr>
        <w:t>.04</w:t>
      </w:r>
      <w:r>
        <w:rPr>
          <w:rFonts w:hint="eastAsia" w:ascii="仿宋" w:hAnsi="仿宋" w:eastAsia="仿宋" w:cs="Times New Roman"/>
          <w:bCs/>
          <w:sz w:val="28"/>
          <w:szCs w:val="28"/>
        </w:rPr>
        <w:t>万亩，每亩计划投资2</w:t>
      </w:r>
      <w:r>
        <w:rPr>
          <w:rFonts w:ascii="仿宋" w:hAnsi="仿宋" w:eastAsia="仿宋" w:cs="Times New Roman"/>
          <w:bCs/>
          <w:sz w:val="28"/>
          <w:szCs w:val="28"/>
        </w:rPr>
        <w:t>000</w:t>
      </w:r>
      <w:r>
        <w:rPr>
          <w:rFonts w:hint="eastAsia" w:ascii="仿宋" w:hAnsi="仿宋" w:eastAsia="仿宋" w:cs="Times New Roman"/>
          <w:bCs/>
          <w:sz w:val="28"/>
          <w:szCs w:val="28"/>
        </w:rPr>
        <w:t>元，估算投资</w:t>
      </w:r>
      <w:r>
        <w:rPr>
          <w:rFonts w:ascii="仿宋" w:hAnsi="仿宋" w:eastAsia="仿宋" w:cs="Times New Roman"/>
          <w:bCs/>
          <w:sz w:val="28"/>
          <w:szCs w:val="28"/>
        </w:rPr>
        <w:t>80</w:t>
      </w:r>
      <w:r>
        <w:rPr>
          <w:rFonts w:hint="eastAsia" w:ascii="仿宋" w:hAnsi="仿宋" w:eastAsia="仿宋" w:cs="Times New Roman"/>
          <w:bCs/>
          <w:sz w:val="28"/>
          <w:szCs w:val="28"/>
        </w:rPr>
        <w:t>万元。</w:t>
      </w:r>
    </w:p>
    <w:p>
      <w:pPr>
        <w:ind w:firstLine="555"/>
        <w:rPr>
          <w:rFonts w:ascii="仿宋" w:hAnsi="仿宋" w:eastAsia="仿宋" w:cs="Times New Roman"/>
          <w:bCs/>
          <w:sz w:val="28"/>
          <w:szCs w:val="28"/>
        </w:rPr>
      </w:pPr>
      <w:r>
        <w:rPr>
          <w:rFonts w:hint="eastAsia" w:ascii="仿宋" w:hAnsi="仿宋" w:eastAsia="仿宋" w:cs="Times New Roman"/>
          <w:bCs/>
          <w:sz w:val="28"/>
          <w:szCs w:val="28"/>
        </w:rPr>
        <w:t>综上，预计2</w:t>
      </w:r>
      <w:r>
        <w:rPr>
          <w:rFonts w:ascii="仿宋" w:hAnsi="仿宋" w:eastAsia="仿宋" w:cs="Times New Roman"/>
          <w:bCs/>
          <w:sz w:val="28"/>
          <w:szCs w:val="28"/>
        </w:rPr>
        <w:t>021-2025</w:t>
      </w:r>
      <w:r>
        <w:rPr>
          <w:rFonts w:hint="eastAsia" w:ascii="仿宋" w:hAnsi="仿宋" w:eastAsia="仿宋" w:cs="Times New Roman"/>
          <w:bCs/>
          <w:sz w:val="28"/>
          <w:szCs w:val="28"/>
        </w:rPr>
        <w:t>年规划总投资</w:t>
      </w:r>
      <w:r>
        <w:rPr>
          <w:rFonts w:ascii="仿宋" w:hAnsi="仿宋" w:eastAsia="仿宋" w:cs="Times New Roman"/>
          <w:bCs/>
          <w:sz w:val="28"/>
          <w:szCs w:val="28"/>
        </w:rPr>
        <w:t>6040</w:t>
      </w:r>
      <w:r>
        <w:rPr>
          <w:rFonts w:hint="eastAsia" w:ascii="仿宋" w:hAnsi="仿宋" w:eastAsia="仿宋" w:cs="Times New Roman"/>
          <w:bCs/>
          <w:sz w:val="28"/>
          <w:szCs w:val="28"/>
        </w:rPr>
        <w:t>万元。详见下表：</w:t>
      </w:r>
    </w:p>
    <w:p>
      <w:pPr>
        <w:ind w:firstLine="555"/>
        <w:jc w:val="center"/>
        <w:rPr>
          <w:rFonts w:ascii="仿宋" w:hAnsi="仿宋" w:eastAsia="仿宋" w:cs="Times New Roman"/>
          <w:bCs/>
          <w:sz w:val="24"/>
          <w:szCs w:val="28"/>
        </w:rPr>
      </w:pPr>
      <w:r>
        <w:rPr>
          <w:rFonts w:hint="eastAsia" w:ascii="仿宋" w:hAnsi="仿宋" w:eastAsia="仿宋" w:cs="Times New Roman"/>
          <w:bCs/>
          <w:sz w:val="24"/>
          <w:szCs w:val="28"/>
        </w:rPr>
        <w:t>表</w:t>
      </w:r>
      <w:r>
        <w:rPr>
          <w:rFonts w:ascii="仿宋" w:hAnsi="仿宋" w:eastAsia="仿宋" w:cs="Times New Roman"/>
          <w:bCs/>
          <w:sz w:val="24"/>
          <w:szCs w:val="28"/>
        </w:rPr>
        <w:t>5-1</w:t>
      </w:r>
      <w:r>
        <w:rPr>
          <w:rFonts w:hint="eastAsia" w:ascii="仿宋" w:hAnsi="仿宋" w:eastAsia="仿宋" w:cs="Times New Roman"/>
          <w:bCs/>
          <w:sz w:val="24"/>
          <w:szCs w:val="28"/>
        </w:rPr>
        <w:t>云和县高标准农田建设“十四五”规划投资汇总表</w:t>
      </w:r>
    </w:p>
    <w:tbl>
      <w:tblPr>
        <w:tblStyle w:val="8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67" w:type="pct"/>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项目类型</w:t>
            </w:r>
          </w:p>
        </w:tc>
        <w:tc>
          <w:tcPr>
            <w:tcW w:w="1666" w:type="pct"/>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建设规模（万亩）</w:t>
            </w:r>
          </w:p>
        </w:tc>
        <w:tc>
          <w:tcPr>
            <w:tcW w:w="1667" w:type="pct"/>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估算投资（万元）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67" w:type="pct"/>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提质改造</w:t>
            </w:r>
          </w:p>
        </w:tc>
        <w:tc>
          <w:tcPr>
            <w:tcW w:w="1666" w:type="pct"/>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0.73</w:t>
            </w:r>
          </w:p>
        </w:tc>
        <w:tc>
          <w:tcPr>
            <w:tcW w:w="1667" w:type="pct"/>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67" w:type="pct"/>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绿色农田</w:t>
            </w:r>
          </w:p>
        </w:tc>
        <w:tc>
          <w:tcPr>
            <w:tcW w:w="1666" w:type="pct"/>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0.21</w:t>
            </w:r>
          </w:p>
        </w:tc>
        <w:tc>
          <w:tcPr>
            <w:tcW w:w="1667" w:type="pct"/>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67" w:type="pct"/>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宜机化改造</w:t>
            </w:r>
          </w:p>
        </w:tc>
        <w:tc>
          <w:tcPr>
            <w:tcW w:w="1666" w:type="pct"/>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0.21</w:t>
            </w:r>
          </w:p>
        </w:tc>
        <w:tc>
          <w:tcPr>
            <w:tcW w:w="1667" w:type="pct"/>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667" w:type="pct"/>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高效节水灌溉</w:t>
            </w:r>
          </w:p>
        </w:tc>
        <w:tc>
          <w:tcPr>
            <w:tcW w:w="1666" w:type="pct"/>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w:t>
            </w:r>
            <w:r>
              <w:rPr>
                <w:rFonts w:ascii="仿宋" w:hAnsi="仿宋" w:eastAsia="仿宋" w:cs="宋体"/>
                <w:bCs/>
                <w:color w:val="000000"/>
                <w:kern w:val="0"/>
                <w:sz w:val="22"/>
              </w:rPr>
              <w:t>.04</w:t>
            </w:r>
          </w:p>
        </w:tc>
        <w:tc>
          <w:tcPr>
            <w:tcW w:w="1667" w:type="pct"/>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8</w:t>
            </w:r>
            <w:r>
              <w:rPr>
                <w:rFonts w:ascii="仿宋" w:hAnsi="仿宋" w:eastAsia="仿宋" w:cs="宋体"/>
                <w:bCs/>
                <w:color w:val="000000"/>
                <w:kern w:val="0"/>
                <w:sz w:val="22"/>
              </w:rPr>
              <w:t>0</w:t>
            </w:r>
          </w:p>
        </w:tc>
      </w:tr>
    </w:tbl>
    <w:p>
      <w:pPr>
        <w:keepNext/>
        <w:keepLines/>
        <w:spacing w:before="260" w:after="260" w:line="416" w:lineRule="auto"/>
        <w:jc w:val="left"/>
        <w:outlineLvl w:val="1"/>
        <w:rPr>
          <w:rFonts w:ascii="仿宋" w:hAnsi="仿宋" w:eastAsia="仿宋" w:cs="Times New Roman"/>
          <w:b/>
          <w:sz w:val="30"/>
          <w:szCs w:val="30"/>
        </w:rPr>
      </w:pPr>
      <w:bookmarkStart w:id="40" w:name="_Toc95983084"/>
      <w:bookmarkStart w:id="41" w:name="_Toc99549045"/>
      <w:r>
        <w:rPr>
          <w:rFonts w:hint="eastAsia" w:ascii="仿宋" w:hAnsi="仿宋" w:eastAsia="仿宋" w:cs="Times New Roman"/>
          <w:b/>
          <w:sz w:val="30"/>
          <w:szCs w:val="30"/>
        </w:rPr>
        <w:t>二、资金筹措</w:t>
      </w:r>
      <w:bookmarkEnd w:id="40"/>
      <w:bookmarkEnd w:id="41"/>
    </w:p>
    <w:p>
      <w:pPr>
        <w:ind w:firstLine="555"/>
        <w:rPr>
          <w:rFonts w:ascii="仿宋" w:hAnsi="仿宋" w:eastAsia="仿宋" w:cs="Times New Roman"/>
          <w:bCs/>
          <w:sz w:val="28"/>
          <w:szCs w:val="28"/>
        </w:rPr>
      </w:pPr>
      <w:r>
        <w:rPr>
          <w:rFonts w:hint="eastAsia" w:ascii="仿宋" w:hAnsi="仿宋" w:eastAsia="仿宋" w:cs="Times New Roman"/>
          <w:bCs/>
          <w:sz w:val="28"/>
          <w:szCs w:val="28"/>
        </w:rPr>
        <w:t>估算2</w:t>
      </w:r>
      <w:r>
        <w:rPr>
          <w:rFonts w:ascii="仿宋" w:hAnsi="仿宋" w:eastAsia="仿宋" w:cs="Times New Roman"/>
          <w:bCs/>
          <w:sz w:val="28"/>
          <w:szCs w:val="28"/>
        </w:rPr>
        <w:t>021-2025</w:t>
      </w:r>
      <w:r>
        <w:rPr>
          <w:rFonts w:hint="eastAsia" w:ascii="仿宋" w:hAnsi="仿宋" w:eastAsia="仿宋" w:cs="Times New Roman"/>
          <w:bCs/>
          <w:sz w:val="28"/>
          <w:szCs w:val="28"/>
        </w:rPr>
        <w:t>年总投资</w:t>
      </w:r>
      <w:r>
        <w:rPr>
          <w:rFonts w:ascii="仿宋" w:hAnsi="仿宋" w:eastAsia="仿宋" w:cs="Times New Roman"/>
          <w:bCs/>
          <w:sz w:val="28"/>
          <w:szCs w:val="28"/>
        </w:rPr>
        <w:t>6040</w:t>
      </w:r>
      <w:r>
        <w:rPr>
          <w:rFonts w:hint="eastAsia" w:ascii="仿宋" w:hAnsi="仿宋" w:eastAsia="仿宋" w:cs="Times New Roman"/>
          <w:bCs/>
          <w:sz w:val="28"/>
          <w:szCs w:val="28"/>
        </w:rPr>
        <w:t>万元，按照目前各级资金配套和自筹比例，拟申请中央财政资金</w:t>
      </w:r>
      <w:r>
        <w:rPr>
          <w:rFonts w:ascii="仿宋" w:hAnsi="仿宋" w:eastAsia="仿宋" w:cs="Times New Roman"/>
          <w:bCs/>
          <w:sz w:val="28"/>
          <w:szCs w:val="28"/>
        </w:rPr>
        <w:t>2000</w:t>
      </w:r>
      <w:r>
        <w:rPr>
          <w:rFonts w:hint="eastAsia" w:ascii="仿宋" w:hAnsi="仿宋" w:eastAsia="仿宋" w:cs="Times New Roman"/>
          <w:bCs/>
          <w:sz w:val="28"/>
          <w:szCs w:val="28"/>
        </w:rPr>
        <w:t>万元，其余资金为省级财政、县级财政配套资金共</w:t>
      </w:r>
      <w:r>
        <w:rPr>
          <w:rFonts w:ascii="仿宋" w:hAnsi="仿宋" w:eastAsia="仿宋" w:cs="Times New Roman"/>
          <w:bCs/>
          <w:sz w:val="28"/>
          <w:szCs w:val="28"/>
        </w:rPr>
        <w:t>4040</w:t>
      </w:r>
      <w:r>
        <w:rPr>
          <w:rFonts w:hint="eastAsia" w:ascii="仿宋" w:hAnsi="仿宋" w:eastAsia="仿宋" w:cs="Times New Roman"/>
          <w:bCs/>
          <w:sz w:val="28"/>
          <w:szCs w:val="28"/>
        </w:rPr>
        <w:t>万元。</w:t>
      </w:r>
    </w:p>
    <w:p>
      <w:pPr>
        <w:widowControl/>
        <w:jc w:val="left"/>
        <w:rPr>
          <w:rFonts w:ascii="仿宋" w:hAnsi="仿宋" w:eastAsia="仿宋" w:cs="Times New Roman"/>
          <w:bCs/>
          <w:kern w:val="44"/>
          <w:sz w:val="36"/>
          <w:szCs w:val="36"/>
        </w:rPr>
      </w:pPr>
      <w:bookmarkStart w:id="42" w:name="_Toc95983085"/>
      <w:r>
        <w:rPr>
          <w:rFonts w:ascii="仿宋" w:hAnsi="仿宋" w:eastAsia="仿宋" w:cs="Times New Roman"/>
          <w:bCs/>
          <w:kern w:val="44"/>
          <w:sz w:val="36"/>
          <w:szCs w:val="36"/>
        </w:rPr>
        <w:br w:type="page"/>
      </w:r>
    </w:p>
    <w:p>
      <w:pPr>
        <w:keepNext/>
        <w:keepLines/>
        <w:tabs>
          <w:tab w:val="left" w:pos="2700"/>
        </w:tabs>
        <w:spacing w:before="340" w:after="330" w:line="578" w:lineRule="auto"/>
        <w:jc w:val="center"/>
        <w:outlineLvl w:val="0"/>
        <w:rPr>
          <w:rFonts w:ascii="仿宋" w:hAnsi="仿宋" w:eastAsia="仿宋" w:cs="Times New Roman"/>
          <w:b/>
          <w:kern w:val="44"/>
          <w:sz w:val="36"/>
          <w:szCs w:val="36"/>
        </w:rPr>
      </w:pPr>
      <w:bookmarkStart w:id="43" w:name="_Toc99549046"/>
      <w:r>
        <w:rPr>
          <w:rFonts w:hint="eastAsia" w:ascii="仿宋" w:hAnsi="仿宋" w:eastAsia="仿宋" w:cs="Times New Roman"/>
          <w:b/>
          <w:kern w:val="44"/>
          <w:sz w:val="36"/>
          <w:szCs w:val="36"/>
        </w:rPr>
        <w:t xml:space="preserve">第六章 </w:t>
      </w:r>
      <w:r>
        <w:rPr>
          <w:rFonts w:ascii="仿宋" w:hAnsi="仿宋" w:eastAsia="仿宋" w:cs="Times New Roman"/>
          <w:b/>
          <w:kern w:val="44"/>
          <w:sz w:val="36"/>
          <w:szCs w:val="36"/>
        </w:rPr>
        <w:t xml:space="preserve"> </w:t>
      </w:r>
      <w:r>
        <w:rPr>
          <w:rFonts w:hint="eastAsia" w:ascii="仿宋" w:hAnsi="仿宋" w:eastAsia="仿宋" w:cs="Times New Roman"/>
          <w:b/>
          <w:kern w:val="44"/>
          <w:sz w:val="36"/>
          <w:szCs w:val="36"/>
        </w:rPr>
        <w:t>效益分析</w:t>
      </w:r>
      <w:bookmarkEnd w:id="42"/>
      <w:bookmarkEnd w:id="43"/>
    </w:p>
    <w:p>
      <w:pPr>
        <w:keepNext/>
        <w:keepLines/>
        <w:spacing w:before="260" w:after="260" w:line="416" w:lineRule="auto"/>
        <w:jc w:val="left"/>
        <w:outlineLvl w:val="1"/>
        <w:rPr>
          <w:rFonts w:ascii="仿宋" w:hAnsi="仿宋" w:eastAsia="仿宋" w:cs="Times New Roman"/>
          <w:b/>
          <w:sz w:val="30"/>
          <w:szCs w:val="30"/>
        </w:rPr>
      </w:pPr>
      <w:bookmarkStart w:id="44" w:name="_Toc95983086"/>
      <w:bookmarkStart w:id="45" w:name="_Toc99549047"/>
      <w:r>
        <w:rPr>
          <w:rFonts w:hint="eastAsia" w:ascii="仿宋" w:hAnsi="仿宋" w:eastAsia="仿宋" w:cs="Times New Roman"/>
          <w:b/>
          <w:sz w:val="30"/>
          <w:szCs w:val="30"/>
        </w:rPr>
        <w:t>一、经济效益分析</w:t>
      </w:r>
      <w:bookmarkEnd w:id="44"/>
      <w:bookmarkEnd w:id="45"/>
    </w:p>
    <w:p>
      <w:pPr>
        <w:ind w:firstLine="555"/>
        <w:rPr>
          <w:rFonts w:ascii="仿宋" w:hAnsi="仿宋" w:eastAsia="仿宋" w:cs="Times New Roman"/>
          <w:bCs/>
          <w:sz w:val="28"/>
          <w:szCs w:val="28"/>
        </w:rPr>
      </w:pPr>
      <w:r>
        <w:rPr>
          <w:rFonts w:hint="eastAsia" w:ascii="仿宋" w:hAnsi="仿宋" w:eastAsia="仿宋" w:cs="Times New Roman"/>
          <w:bCs/>
          <w:sz w:val="28"/>
          <w:szCs w:val="28"/>
        </w:rPr>
        <w:t>（一）提高生产效益，促进农民增收</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高标准农田建成后，新增亩均提高粮食综合产能</w:t>
      </w:r>
      <w:r>
        <w:rPr>
          <w:rFonts w:ascii="仿宋" w:hAnsi="仿宋" w:eastAsia="仿宋" w:cs="Times New Roman"/>
          <w:bCs/>
          <w:sz w:val="28"/>
          <w:szCs w:val="28"/>
        </w:rPr>
        <w:t>100kg左右、</w:t>
      </w:r>
      <w:r>
        <w:rPr>
          <w:rFonts w:hint="eastAsia" w:ascii="仿宋" w:hAnsi="仿宋" w:eastAsia="仿宋" w:cs="Times New Roman"/>
          <w:bCs/>
          <w:sz w:val="28"/>
          <w:szCs w:val="28"/>
        </w:rPr>
        <w:t>改造提升亩均提高粮食综合产能</w:t>
      </w:r>
      <w:r>
        <w:rPr>
          <w:rFonts w:ascii="仿宋" w:hAnsi="仿宋" w:eastAsia="仿宋" w:cs="Times New Roman"/>
          <w:bCs/>
          <w:sz w:val="28"/>
          <w:szCs w:val="28"/>
        </w:rPr>
        <w:t>80kg左右，加上优质、节水、节</w:t>
      </w:r>
      <w:r>
        <w:rPr>
          <w:rFonts w:hint="eastAsia" w:ascii="仿宋" w:hAnsi="仿宋" w:eastAsia="仿宋" w:cs="Times New Roman"/>
          <w:bCs/>
          <w:sz w:val="28"/>
          <w:szCs w:val="28"/>
        </w:rPr>
        <w:t>能、节肥、节药等其他效益，每亩耕地平均每年增收节支</w:t>
      </w:r>
      <w:r>
        <w:rPr>
          <w:rFonts w:ascii="仿宋" w:hAnsi="仿宋" w:eastAsia="仿宋" w:cs="Times New Roman"/>
          <w:bCs/>
          <w:sz w:val="28"/>
          <w:szCs w:val="28"/>
        </w:rPr>
        <w:t>500元。</w:t>
      </w:r>
      <w:r>
        <w:rPr>
          <w:rFonts w:hint="eastAsia" w:ascii="仿宋" w:hAnsi="仿宋" w:eastAsia="仿宋" w:cs="Times New Roman"/>
          <w:bCs/>
          <w:sz w:val="28"/>
          <w:szCs w:val="28"/>
        </w:rPr>
        <w:t>规划实施完成后，预期能新增</w:t>
      </w:r>
      <w:r>
        <w:rPr>
          <w:rFonts w:ascii="仿宋" w:hAnsi="仿宋" w:eastAsia="仿宋" w:cs="Times New Roman"/>
          <w:bCs/>
          <w:sz w:val="28"/>
          <w:szCs w:val="28"/>
        </w:rPr>
        <w:t>0.04万亩</w:t>
      </w:r>
      <w:r>
        <w:rPr>
          <w:rFonts w:hint="eastAsia" w:ascii="仿宋" w:hAnsi="仿宋" w:eastAsia="仿宋" w:cs="Times New Roman"/>
          <w:bCs/>
          <w:sz w:val="28"/>
          <w:szCs w:val="28"/>
        </w:rPr>
        <w:t>高效节水灌溉</w:t>
      </w:r>
      <w:r>
        <w:rPr>
          <w:rFonts w:ascii="仿宋" w:hAnsi="仿宋" w:eastAsia="仿宋" w:cs="Times New Roman"/>
          <w:bCs/>
          <w:sz w:val="28"/>
          <w:szCs w:val="28"/>
        </w:rPr>
        <w:t>农田，改造提升0.73</w:t>
      </w:r>
      <w:r>
        <w:rPr>
          <w:rFonts w:hint="eastAsia" w:ascii="仿宋" w:hAnsi="仿宋" w:eastAsia="仿宋" w:cs="Times New Roman"/>
          <w:bCs/>
          <w:sz w:val="28"/>
          <w:szCs w:val="28"/>
        </w:rPr>
        <w:t>万亩</w:t>
      </w:r>
      <w:r>
        <w:rPr>
          <w:rFonts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（二）保障粮食安全，助推供给侧结构改革</w:t>
      </w:r>
    </w:p>
    <w:p>
      <w:pPr>
        <w:ind w:firstLine="555"/>
        <w:rPr>
          <w:rFonts w:ascii="仿宋" w:hAnsi="仿宋" w:eastAsia="仿宋" w:cs="Times New Roman"/>
          <w:bCs/>
          <w:sz w:val="28"/>
          <w:szCs w:val="28"/>
        </w:rPr>
      </w:pPr>
      <w:r>
        <w:rPr>
          <w:rFonts w:hint="eastAsia" w:ascii="仿宋" w:hAnsi="仿宋" w:eastAsia="仿宋" w:cs="Times New Roman"/>
          <w:bCs/>
          <w:sz w:val="28"/>
          <w:szCs w:val="28"/>
        </w:rPr>
        <w:t>通过规划实施，全县高标准农田规模进一步扩大，占比显著提高，农业生产的能力和效率和提升。根据以往高标准农田建设的经验，规划实施后项目区亩均农田粮食年产量将稳定在</w:t>
      </w:r>
      <w:r>
        <w:rPr>
          <w:rFonts w:ascii="仿宋" w:hAnsi="仿宋" w:eastAsia="仿宋" w:cs="Times New Roman"/>
          <w:bCs/>
          <w:sz w:val="28"/>
          <w:szCs w:val="28"/>
        </w:rPr>
        <w:t>27</w:t>
      </w:r>
      <w:r>
        <w:rPr>
          <w:rFonts w:hint="eastAsia" w:ascii="仿宋" w:hAnsi="仿宋" w:eastAsia="仿宋" w:cs="Times New Roman"/>
          <w:bCs/>
          <w:sz w:val="28"/>
          <w:szCs w:val="28"/>
        </w:rPr>
        <w:t>0kg以上，乃至更高，对保障国家粮食安全具有积极的意义。随着农田质量提高，配套设施改善，设施农业、休闲农业将更快、更好发展，农产品的花色品种增加，产品质量安全水平明显提高，对加快农业供给侧结构改革，促进农业的转型升级具有积极的意义。</w:t>
      </w:r>
    </w:p>
    <w:p>
      <w:pPr>
        <w:ind w:firstLine="555"/>
        <w:rPr>
          <w:rFonts w:ascii="仿宋" w:hAnsi="仿宋" w:eastAsia="仿宋" w:cs="Times New Roman"/>
          <w:bCs/>
          <w:sz w:val="28"/>
          <w:szCs w:val="28"/>
        </w:rPr>
      </w:pPr>
      <w:r>
        <w:rPr>
          <w:rFonts w:hint="eastAsia" w:ascii="仿宋" w:hAnsi="仿宋" w:eastAsia="仿宋" w:cs="Times New Roman"/>
          <w:bCs/>
          <w:sz w:val="28"/>
          <w:szCs w:val="28"/>
        </w:rPr>
        <w:t>（三）改善生产条件，增强抵御自然灾害能力</w:t>
      </w:r>
    </w:p>
    <w:p>
      <w:pPr>
        <w:ind w:firstLine="555"/>
        <w:rPr>
          <w:rFonts w:ascii="仿宋" w:hAnsi="仿宋" w:eastAsia="仿宋" w:cs="Times New Roman"/>
          <w:bCs/>
          <w:sz w:val="28"/>
          <w:szCs w:val="28"/>
        </w:rPr>
      </w:pPr>
      <w:r>
        <w:rPr>
          <w:rFonts w:hint="eastAsia" w:ascii="仿宋" w:hAnsi="仿宋" w:eastAsia="仿宋" w:cs="Times New Roman"/>
          <w:bCs/>
          <w:sz w:val="28"/>
          <w:szCs w:val="28"/>
        </w:rPr>
        <w:t>通过规划实施，项目区农业生产条件将明显改善，抵御台风、干旱、暴雨等自然灾害的能力明显提高，为农业稳产高产创造良好的条件。高标准农田建设还将解决规划区农田基础条件差、地力水平不高的问题，显著改善农业生产条件，有效提高土、肥、水资源利用率。</w:t>
      </w:r>
    </w:p>
    <w:p>
      <w:pPr>
        <w:keepNext/>
        <w:keepLines/>
        <w:spacing w:before="260" w:after="260" w:line="416" w:lineRule="auto"/>
        <w:jc w:val="left"/>
        <w:outlineLvl w:val="1"/>
        <w:rPr>
          <w:rFonts w:ascii="仿宋" w:hAnsi="仿宋" w:eastAsia="仿宋" w:cs="Times New Roman"/>
          <w:b/>
          <w:sz w:val="30"/>
          <w:szCs w:val="30"/>
        </w:rPr>
      </w:pPr>
      <w:bookmarkStart w:id="46" w:name="_Toc99549048"/>
      <w:bookmarkStart w:id="47" w:name="_Toc95983087"/>
      <w:r>
        <w:rPr>
          <w:rFonts w:hint="eastAsia" w:ascii="仿宋" w:hAnsi="仿宋" w:eastAsia="仿宋" w:cs="Times New Roman"/>
          <w:b/>
          <w:sz w:val="30"/>
          <w:szCs w:val="30"/>
        </w:rPr>
        <w:t>二、社会效益分析</w:t>
      </w:r>
      <w:bookmarkEnd w:id="46"/>
      <w:bookmarkEnd w:id="47"/>
    </w:p>
    <w:p>
      <w:pPr>
        <w:ind w:firstLine="555"/>
        <w:rPr>
          <w:rFonts w:ascii="仿宋" w:hAnsi="仿宋" w:eastAsia="仿宋" w:cs="Times New Roman"/>
          <w:bCs/>
          <w:sz w:val="28"/>
          <w:szCs w:val="28"/>
        </w:rPr>
      </w:pPr>
      <w:r>
        <w:rPr>
          <w:rFonts w:hint="eastAsia" w:ascii="仿宋" w:hAnsi="仿宋" w:eastAsia="仿宋" w:cs="Times New Roman"/>
          <w:bCs/>
          <w:sz w:val="28"/>
          <w:szCs w:val="28"/>
        </w:rPr>
        <w:t>（一）提高农业科技水平，推动传统农业改造升级</w:t>
      </w:r>
    </w:p>
    <w:p>
      <w:pPr>
        <w:ind w:firstLine="555"/>
        <w:rPr>
          <w:rFonts w:ascii="仿宋" w:hAnsi="仿宋" w:eastAsia="仿宋" w:cs="Times New Roman"/>
          <w:bCs/>
          <w:sz w:val="28"/>
          <w:szCs w:val="28"/>
        </w:rPr>
      </w:pPr>
      <w:r>
        <w:rPr>
          <w:rFonts w:hint="eastAsia" w:ascii="仿宋" w:hAnsi="仿宋" w:eastAsia="仿宋" w:cs="Times New Roman"/>
          <w:bCs/>
          <w:sz w:val="28"/>
          <w:szCs w:val="28"/>
        </w:rPr>
        <w:t>通过高标准农田建设，为农业新技术、新品种、新模式、新装备的示范推广创造有利条件，促进良种、良法、良田、良制的有效结合，提高规划区农业科技水平。通过加大科技投入，着力加强规划区农民培训，培养一批懂技术、善经营、会管理的新型农民。同时，在规划区着力引进推广科技含量高、市场潜力大、经济效益好的优良品种和节水灌溉、配方施肥等先进适用技术，对县内其他地区起到了良好的示范和带动作用，对推动全县传统农业的改造和产业升级、促进现代农业发展有着积极的意义。</w:t>
      </w:r>
    </w:p>
    <w:p>
      <w:pPr>
        <w:ind w:firstLine="555"/>
        <w:rPr>
          <w:rFonts w:ascii="仿宋" w:hAnsi="仿宋" w:eastAsia="仿宋" w:cs="Times New Roman"/>
          <w:bCs/>
          <w:sz w:val="28"/>
          <w:szCs w:val="28"/>
        </w:rPr>
      </w:pPr>
      <w:r>
        <w:rPr>
          <w:rFonts w:hint="eastAsia" w:ascii="仿宋" w:hAnsi="仿宋" w:eastAsia="仿宋" w:cs="Times New Roman"/>
          <w:bCs/>
          <w:sz w:val="28"/>
          <w:szCs w:val="28"/>
        </w:rPr>
        <w:t>（二）壮大新型经营主体，加快现代农业发展步伐</w:t>
      </w:r>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建设将为新型农业经营主体发展规模经营提供良好条件，发展种植大户、家庭农场、农民合作社等多种形式的适度规模经营，推进农业生产的集约化、专业化、组织化和社会化。项目建设依据全县各地农业资源特色和区域比较优势，围绕培育特色产业和特色经济，着力推动农业结构调整，促进产业升级、优化产业布局，有力推进全县现代农业发展步伐。</w:t>
      </w:r>
    </w:p>
    <w:p>
      <w:pPr>
        <w:ind w:firstLine="560" w:firstLineChars="200"/>
        <w:jc w:val="left"/>
        <w:rPr>
          <w:rFonts w:ascii="仿宋" w:hAnsi="仿宋" w:eastAsia="仿宋" w:cs="Times New Roman"/>
          <w:bCs/>
          <w:sz w:val="28"/>
          <w:szCs w:val="28"/>
        </w:rPr>
      </w:pPr>
      <w:r>
        <w:rPr>
          <w:rFonts w:hint="eastAsia" w:ascii="仿宋" w:hAnsi="仿宋" w:eastAsia="仿宋" w:cs="Times New Roman"/>
          <w:bCs/>
          <w:sz w:val="28"/>
          <w:szCs w:val="28"/>
        </w:rPr>
        <w:t>（三）促进农民增收，推进乡村振兴战略实施</w:t>
      </w:r>
    </w:p>
    <w:p>
      <w:pPr>
        <w:ind w:firstLine="555"/>
        <w:rPr>
          <w:rFonts w:ascii="仿宋" w:hAnsi="仿宋" w:eastAsia="仿宋" w:cs="Times New Roman"/>
          <w:bCs/>
          <w:sz w:val="28"/>
          <w:szCs w:val="28"/>
        </w:rPr>
      </w:pPr>
      <w:r>
        <w:rPr>
          <w:rFonts w:hint="eastAsia" w:ascii="仿宋" w:hAnsi="仿宋" w:eastAsia="仿宋" w:cs="Times New Roman"/>
          <w:bCs/>
          <w:sz w:val="28"/>
          <w:szCs w:val="28"/>
        </w:rPr>
        <w:t>切实改善了农业生产、农民生活的基本条件，解决了群众的需求，同时带动农民收入增加。通过民主管理，扶持农民专业合作经济组织，提高农民组织化程度，使各种管理更趋于科学、民主，农民的综合素质得到提高，有利于密切农村党群、干群关系，促进良好民风的形成，有利于促进和谐农村建设。</w:t>
      </w:r>
    </w:p>
    <w:p>
      <w:pPr>
        <w:keepNext/>
        <w:keepLines/>
        <w:spacing w:before="260" w:after="260" w:line="416" w:lineRule="auto"/>
        <w:jc w:val="left"/>
        <w:outlineLvl w:val="1"/>
        <w:rPr>
          <w:rFonts w:ascii="仿宋" w:hAnsi="仿宋" w:eastAsia="仿宋" w:cs="Times New Roman"/>
          <w:b/>
          <w:sz w:val="30"/>
          <w:szCs w:val="30"/>
        </w:rPr>
      </w:pPr>
      <w:bookmarkStart w:id="48" w:name="_Toc95983088"/>
      <w:bookmarkStart w:id="49" w:name="_Toc99549049"/>
      <w:r>
        <w:rPr>
          <w:rFonts w:hint="eastAsia" w:ascii="仿宋" w:hAnsi="仿宋" w:eastAsia="仿宋" w:cs="Times New Roman"/>
          <w:b/>
          <w:sz w:val="30"/>
          <w:szCs w:val="30"/>
        </w:rPr>
        <w:t>三、生态效益分析</w:t>
      </w:r>
      <w:bookmarkEnd w:id="48"/>
      <w:bookmarkEnd w:id="49"/>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（一）提高水资源利用效率</w:t>
      </w:r>
    </w:p>
    <w:p>
      <w:pPr>
        <w:ind w:firstLine="555"/>
        <w:rPr>
          <w:rFonts w:ascii="仿宋" w:hAnsi="仿宋" w:eastAsia="仿宋" w:cs="Times New Roman"/>
          <w:bCs/>
          <w:sz w:val="28"/>
          <w:szCs w:val="28"/>
        </w:rPr>
      </w:pPr>
      <w:r>
        <w:rPr>
          <w:rFonts w:hint="eastAsia" w:ascii="仿宋" w:hAnsi="仿宋" w:eastAsia="仿宋" w:cs="Times New Roman"/>
          <w:bCs/>
          <w:sz w:val="28"/>
          <w:szCs w:val="28"/>
        </w:rPr>
        <w:t>在高标准农田建设中，通过河道和相关设施建设，解决水资源时空分布不均的问题；通过衬砌渠道、配套田间水利工程、新建与改造机电排灌站、推广喷滴灌等措施，可加快流速、减少渗漏、节约用水，提高水资源利用率和灌溉效率；通过营造农田防护林和水源涵养林，可涵养水分，减少蒸发蒸腾；通过修建农田排水沟渠等措施，可排除过高地下水，保障农田灌溉水质达标。高标准农田建设对改善区域内水资源供需平衡状况，提高水资源利用效率将起到积极的优化作用。</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（二）有效防止水土流失现象</w:t>
      </w:r>
    </w:p>
    <w:p>
      <w:pPr>
        <w:ind w:firstLine="555"/>
        <w:rPr>
          <w:rFonts w:ascii="仿宋" w:hAnsi="仿宋" w:eastAsia="仿宋" w:cs="Times New Roman"/>
          <w:bCs/>
          <w:sz w:val="28"/>
          <w:szCs w:val="28"/>
        </w:rPr>
      </w:pPr>
      <w:r>
        <w:rPr>
          <w:rFonts w:hint="eastAsia" w:ascii="仿宋" w:hAnsi="仿宋" w:eastAsia="仿宋" w:cs="Times New Roman"/>
          <w:bCs/>
          <w:sz w:val="28"/>
          <w:szCs w:val="28"/>
        </w:rPr>
        <w:t>本规划组织实施的高标准农田建设，大部分工程为小型泵站的建设与维修、开挖沟渠、衬砌、整修农田道路和建设农田防护林网等。项目建成后，随着农田基础设施的改善、配套技术的应用、农田林网的完善等，可有效拦截泥沙、保水保肥，有效减轻土壤侵蚀强度，对防治水土流失、改善生态环境起到积极作用。</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（三）降低农业面源污染程度</w:t>
      </w:r>
    </w:p>
    <w:p>
      <w:pPr>
        <w:ind w:firstLine="555"/>
        <w:rPr>
          <w:rFonts w:ascii="仿宋" w:hAnsi="仿宋" w:eastAsia="仿宋" w:cs="Times New Roman"/>
          <w:bCs/>
          <w:sz w:val="28"/>
          <w:szCs w:val="28"/>
        </w:rPr>
      </w:pPr>
      <w:r>
        <w:rPr>
          <w:rFonts w:hint="eastAsia" w:ascii="仿宋" w:hAnsi="仿宋" w:eastAsia="仿宋" w:cs="Times New Roman"/>
          <w:bCs/>
          <w:sz w:val="28"/>
          <w:szCs w:val="28"/>
        </w:rPr>
        <w:t>通过高标准农田建设，提高土壤肥力，改善农田小气候，可减轻对化肥和农药的依赖，同时通过推广应用科学施肥、秸秆还田、病虫害综合防治等技术，推广使用高效、低毒、低残留农药和生物农药，降低化肥和农药的使用量，提高化肥和农药的使用效率。这些保护措施，将大大减少农业面源污染。在项目实施过程中，建立健全农业面源污染监测预警体系，强化监测手段，开展农业面源污染监测预警，加快实施化肥农药减施替代工程，推广精准化施肥、施药等环境友好型农业生产技术，防治农业面源污染，既包含生态环境，又能提高农产品质量与安全水平。</w:t>
      </w:r>
    </w:p>
    <w:p>
      <w:pPr>
        <w:ind w:firstLine="555"/>
        <w:jc w:val="left"/>
        <w:rPr>
          <w:rFonts w:ascii="仿宋" w:hAnsi="仿宋" w:eastAsia="仿宋" w:cs="Times New Roman"/>
          <w:bCs/>
          <w:sz w:val="28"/>
          <w:szCs w:val="28"/>
        </w:rPr>
      </w:pPr>
      <w:r>
        <w:rPr>
          <w:rFonts w:hint="eastAsia" w:ascii="仿宋" w:hAnsi="仿宋" w:eastAsia="仿宋" w:cs="Times New Roman"/>
          <w:bCs/>
          <w:sz w:val="28"/>
          <w:szCs w:val="28"/>
        </w:rPr>
        <w:t>（四）助推美丽乡村建设</w:t>
      </w:r>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建设项目的实施，在加强农业基础设施建设、提高农业综合生产能力的同时，结合新农村建设的实际需要，加强道路建设，改善农村环境，使规划区内的沟河能排、能灌，水质清澈，空气清新，交通状况得到改善，农民生活条件将会有明显改变。</w:t>
      </w:r>
    </w:p>
    <w:p>
      <w:pPr>
        <w:keepNext/>
        <w:keepLines/>
        <w:tabs>
          <w:tab w:val="left" w:pos="2700"/>
        </w:tabs>
        <w:spacing w:before="340" w:after="330" w:line="578" w:lineRule="auto"/>
        <w:jc w:val="center"/>
        <w:outlineLvl w:val="0"/>
        <w:rPr>
          <w:rFonts w:ascii="仿宋" w:hAnsi="仿宋" w:eastAsia="仿宋" w:cs="Times New Roman"/>
          <w:b/>
          <w:kern w:val="44"/>
          <w:sz w:val="36"/>
          <w:szCs w:val="36"/>
        </w:rPr>
      </w:pPr>
      <w:r>
        <w:rPr>
          <w:rFonts w:hint="eastAsia" w:ascii="仿宋" w:hAnsi="仿宋" w:eastAsia="仿宋" w:cs="Times New Roman"/>
          <w:bCs/>
          <w:kern w:val="44"/>
          <w:sz w:val="36"/>
          <w:szCs w:val="36"/>
        </w:rPr>
        <w:br w:type="page"/>
      </w:r>
      <w:bookmarkStart w:id="50" w:name="_Toc99549050"/>
      <w:r>
        <w:rPr>
          <w:rFonts w:hint="eastAsia" w:ascii="仿宋" w:hAnsi="仿宋" w:eastAsia="仿宋" w:cs="Times New Roman"/>
          <w:b/>
          <w:kern w:val="44"/>
          <w:sz w:val="36"/>
          <w:szCs w:val="36"/>
        </w:rPr>
        <w:t xml:space="preserve">第七章 </w:t>
      </w:r>
      <w:r>
        <w:rPr>
          <w:rFonts w:ascii="仿宋" w:hAnsi="仿宋" w:eastAsia="仿宋" w:cs="Times New Roman"/>
          <w:b/>
          <w:kern w:val="44"/>
          <w:sz w:val="36"/>
          <w:szCs w:val="36"/>
        </w:rPr>
        <w:t xml:space="preserve"> </w:t>
      </w:r>
      <w:r>
        <w:rPr>
          <w:rFonts w:hint="eastAsia" w:ascii="仿宋" w:hAnsi="仿宋" w:eastAsia="仿宋" w:cs="Times New Roman"/>
          <w:b/>
          <w:kern w:val="44"/>
          <w:sz w:val="36"/>
          <w:szCs w:val="36"/>
        </w:rPr>
        <w:t>建设监管与建后管护</w:t>
      </w:r>
      <w:bookmarkEnd w:id="50"/>
    </w:p>
    <w:p>
      <w:pPr>
        <w:keepNext/>
        <w:keepLines/>
        <w:spacing w:before="260" w:after="260" w:line="416" w:lineRule="auto"/>
        <w:jc w:val="left"/>
        <w:outlineLvl w:val="1"/>
        <w:rPr>
          <w:rFonts w:ascii="仿宋" w:hAnsi="仿宋" w:eastAsia="仿宋" w:cs="Times New Roman"/>
          <w:b/>
          <w:sz w:val="30"/>
          <w:szCs w:val="30"/>
        </w:rPr>
      </w:pPr>
      <w:bookmarkStart w:id="51" w:name="_Toc99549051"/>
      <w:bookmarkStart w:id="52" w:name="_Toc27882"/>
      <w:bookmarkStart w:id="53" w:name="_Toc94045369"/>
      <w:r>
        <w:rPr>
          <w:rFonts w:hint="eastAsia" w:ascii="仿宋" w:hAnsi="仿宋" w:eastAsia="仿宋" w:cs="Times New Roman"/>
          <w:b/>
          <w:sz w:val="30"/>
          <w:szCs w:val="30"/>
        </w:rPr>
        <w:t>一、</w:t>
      </w:r>
      <w:r>
        <w:rPr>
          <w:rFonts w:ascii="仿宋" w:hAnsi="仿宋" w:eastAsia="仿宋" w:cs="Times New Roman"/>
          <w:b/>
          <w:sz w:val="30"/>
          <w:szCs w:val="30"/>
        </w:rPr>
        <w:t>建设监管</w:t>
      </w:r>
      <w:bookmarkEnd w:id="51"/>
      <w:bookmarkEnd w:id="52"/>
      <w:bookmarkEnd w:id="53"/>
    </w:p>
    <w:p>
      <w:pPr>
        <w:ind w:firstLine="555"/>
        <w:rPr>
          <w:rFonts w:ascii="仿宋" w:hAnsi="仿宋" w:eastAsia="仿宋" w:cs="Times New Roman"/>
          <w:bCs/>
          <w:sz w:val="28"/>
          <w:szCs w:val="28"/>
        </w:rPr>
      </w:pPr>
      <w:r>
        <w:rPr>
          <w:rFonts w:hint="eastAsia" w:ascii="仿宋" w:hAnsi="仿宋" w:eastAsia="仿宋" w:cs="Times New Roman"/>
          <w:bCs/>
          <w:sz w:val="28"/>
          <w:szCs w:val="28"/>
        </w:rPr>
        <w:t>1</w:t>
      </w:r>
      <w:r>
        <w:rPr>
          <w:rFonts w:ascii="仿宋" w:hAnsi="仿宋" w:eastAsia="仿宋" w:cs="Times New Roman"/>
          <w:bCs/>
          <w:sz w:val="28"/>
          <w:szCs w:val="28"/>
        </w:rPr>
        <w:t>.</w:t>
      </w:r>
      <w:r>
        <w:rPr>
          <w:rFonts w:hint="eastAsia" w:ascii="仿宋" w:hAnsi="仿宋" w:eastAsia="仿宋" w:cs="Times New Roman"/>
          <w:bCs/>
          <w:sz w:val="28"/>
          <w:szCs w:val="28"/>
        </w:rPr>
        <w:t>加大公众宣传力度</w:t>
      </w:r>
    </w:p>
    <w:p>
      <w:pPr>
        <w:ind w:firstLine="555"/>
        <w:rPr>
          <w:rFonts w:ascii="仿宋" w:hAnsi="仿宋" w:eastAsia="仿宋" w:cs="Times New Roman"/>
          <w:bCs/>
          <w:sz w:val="28"/>
          <w:szCs w:val="28"/>
        </w:rPr>
      </w:pPr>
      <w:r>
        <w:rPr>
          <w:rFonts w:ascii="仿宋" w:hAnsi="仿宋" w:eastAsia="仿宋" w:cs="Times New Roman"/>
          <w:bCs/>
          <w:sz w:val="28"/>
          <w:szCs w:val="28"/>
        </w:rPr>
        <w:t>充分利用大众媒体，对建设规划、年度计划、项目设计、实施效果等进行广泛宣传。依托网络平台，加强交流互动，提高社会对规划的认识，提高民众对规划实施的支持度，动员社会各界力量参与高标准农田建设。</w:t>
      </w:r>
    </w:p>
    <w:p>
      <w:pPr>
        <w:ind w:firstLine="555"/>
        <w:rPr>
          <w:rFonts w:ascii="仿宋" w:hAnsi="仿宋" w:eastAsia="仿宋" w:cs="Times New Roman"/>
          <w:bCs/>
          <w:sz w:val="28"/>
          <w:szCs w:val="28"/>
        </w:rPr>
      </w:pPr>
      <w:r>
        <w:rPr>
          <w:rFonts w:hint="eastAsia" w:ascii="仿宋" w:hAnsi="仿宋" w:eastAsia="仿宋" w:cs="Times New Roman"/>
          <w:bCs/>
          <w:sz w:val="28"/>
          <w:szCs w:val="28"/>
        </w:rPr>
        <w:t>2</w:t>
      </w:r>
      <w:r>
        <w:rPr>
          <w:rFonts w:ascii="仿宋" w:hAnsi="仿宋" w:eastAsia="仿宋" w:cs="Times New Roman"/>
          <w:bCs/>
          <w:sz w:val="28"/>
          <w:szCs w:val="28"/>
        </w:rPr>
        <w:t>.</w:t>
      </w:r>
      <w:r>
        <w:rPr>
          <w:rFonts w:hint="eastAsia" w:ascii="仿宋" w:hAnsi="仿宋" w:eastAsia="仿宋" w:cs="Times New Roman"/>
          <w:bCs/>
          <w:sz w:val="28"/>
          <w:szCs w:val="28"/>
        </w:rPr>
        <w:t>推行信息公开制度</w:t>
      </w:r>
    </w:p>
    <w:p>
      <w:pPr>
        <w:ind w:firstLine="555"/>
        <w:rPr>
          <w:rFonts w:ascii="仿宋" w:hAnsi="仿宋" w:eastAsia="仿宋" w:cs="Times New Roman"/>
          <w:bCs/>
          <w:sz w:val="28"/>
          <w:szCs w:val="28"/>
        </w:rPr>
      </w:pPr>
      <w:r>
        <w:rPr>
          <w:rFonts w:ascii="仿宋" w:hAnsi="仿宋" w:eastAsia="仿宋" w:cs="Times New Roman"/>
          <w:bCs/>
          <w:sz w:val="28"/>
          <w:szCs w:val="28"/>
        </w:rPr>
        <w:t>强化规划实施的部门协调与沟通配合，加强规划民主决策和公众参与，建立完整的规划信息公开制度。广泛征询社会公众和土地权利人意见，将公众参与制度贯穿规划实施全过程，将规划方案成果、规划实施信息予以公示，接受社会监督。</w:t>
      </w:r>
      <w:bookmarkStart w:id="54" w:name="_Toc8280"/>
      <w:bookmarkStart w:id="55" w:name="_Toc94045370"/>
    </w:p>
    <w:p>
      <w:pPr>
        <w:ind w:firstLine="555"/>
        <w:rPr>
          <w:rFonts w:ascii="仿宋" w:hAnsi="仿宋" w:eastAsia="仿宋" w:cs="Times New Roman"/>
          <w:bCs/>
          <w:sz w:val="28"/>
          <w:szCs w:val="28"/>
        </w:rPr>
      </w:pPr>
      <w:r>
        <w:rPr>
          <w:rFonts w:hint="eastAsia" w:ascii="仿宋" w:hAnsi="仿宋" w:eastAsia="仿宋" w:cs="Times New Roman"/>
          <w:bCs/>
          <w:sz w:val="28"/>
          <w:szCs w:val="28"/>
        </w:rPr>
        <w:t>3</w:t>
      </w:r>
      <w:r>
        <w:rPr>
          <w:rFonts w:ascii="仿宋" w:hAnsi="仿宋" w:eastAsia="仿宋" w:cs="Times New Roman"/>
          <w:bCs/>
          <w:sz w:val="28"/>
          <w:szCs w:val="28"/>
        </w:rPr>
        <w:t>.</w:t>
      </w:r>
      <w:r>
        <w:rPr>
          <w:rFonts w:hint="eastAsia" w:ascii="仿宋" w:hAnsi="仿宋" w:eastAsia="仿宋" w:cs="Times New Roman"/>
          <w:bCs/>
          <w:sz w:val="28"/>
          <w:szCs w:val="28"/>
        </w:rPr>
        <w:t>委派监理制度</w:t>
      </w:r>
    </w:p>
    <w:p>
      <w:pPr>
        <w:ind w:firstLine="555"/>
        <w:rPr>
          <w:rFonts w:ascii="仿宋" w:hAnsi="仿宋" w:eastAsia="仿宋" w:cs="Times New Roman"/>
          <w:bCs/>
          <w:sz w:val="28"/>
          <w:szCs w:val="28"/>
        </w:rPr>
      </w:pPr>
      <w:r>
        <w:rPr>
          <w:rFonts w:hint="eastAsia" w:ascii="仿宋" w:hAnsi="仿宋" w:eastAsia="仿宋" w:cs="Times New Roman"/>
          <w:bCs/>
          <w:sz w:val="28"/>
          <w:szCs w:val="28"/>
        </w:rPr>
        <w:t>为规范化、标准化开展高标准农田建设工作，依据国家有关工程建设的政策法规，水利等工程建设方面的规范、标准，有序开展监理工作，确保高标准农田建设工程保质保量实施。</w:t>
      </w:r>
    </w:p>
    <w:p>
      <w:pPr>
        <w:keepNext/>
        <w:keepLines/>
        <w:spacing w:before="260" w:after="260" w:line="416" w:lineRule="auto"/>
        <w:jc w:val="left"/>
        <w:outlineLvl w:val="1"/>
        <w:rPr>
          <w:rFonts w:ascii="仿宋" w:hAnsi="仿宋" w:eastAsia="仿宋" w:cs="Times New Roman"/>
          <w:b/>
          <w:sz w:val="30"/>
          <w:szCs w:val="30"/>
        </w:rPr>
      </w:pPr>
      <w:bookmarkStart w:id="56" w:name="_Toc99549052"/>
      <w:r>
        <w:rPr>
          <w:rFonts w:hint="eastAsia" w:ascii="仿宋" w:hAnsi="仿宋" w:eastAsia="仿宋" w:cs="Times New Roman"/>
          <w:b/>
          <w:sz w:val="30"/>
          <w:szCs w:val="30"/>
        </w:rPr>
        <w:t>二、</w:t>
      </w:r>
      <w:r>
        <w:rPr>
          <w:rFonts w:ascii="仿宋" w:hAnsi="仿宋" w:eastAsia="仿宋" w:cs="Times New Roman"/>
          <w:b/>
          <w:sz w:val="30"/>
          <w:szCs w:val="30"/>
        </w:rPr>
        <w:t>建后管护</w:t>
      </w:r>
      <w:bookmarkEnd w:id="54"/>
      <w:bookmarkEnd w:id="55"/>
      <w:bookmarkEnd w:id="56"/>
    </w:p>
    <w:p>
      <w:pPr>
        <w:ind w:firstLine="555"/>
        <w:rPr>
          <w:rFonts w:ascii="仿宋" w:hAnsi="仿宋" w:eastAsia="仿宋" w:cs="Times New Roman"/>
          <w:bCs/>
          <w:sz w:val="28"/>
          <w:szCs w:val="28"/>
        </w:rPr>
      </w:pPr>
      <w:r>
        <w:rPr>
          <w:rFonts w:hint="eastAsia" w:ascii="仿宋" w:hAnsi="仿宋" w:eastAsia="仿宋" w:cs="Times New Roman"/>
          <w:bCs/>
          <w:sz w:val="28"/>
          <w:szCs w:val="28"/>
        </w:rPr>
        <w:t>1</w:t>
      </w:r>
      <w:r>
        <w:rPr>
          <w:rFonts w:ascii="仿宋" w:hAnsi="仿宋" w:eastAsia="仿宋" w:cs="Times New Roman"/>
          <w:bCs/>
          <w:sz w:val="28"/>
          <w:szCs w:val="28"/>
        </w:rPr>
        <w:t>.</w:t>
      </w:r>
      <w:r>
        <w:rPr>
          <w:rFonts w:hint="eastAsia" w:ascii="仿宋" w:hAnsi="仿宋" w:eastAsia="仿宋" w:cs="Times New Roman"/>
          <w:bCs/>
          <w:sz w:val="28"/>
          <w:szCs w:val="28"/>
        </w:rPr>
        <w:t>明确管护责任</w:t>
      </w:r>
    </w:p>
    <w:p>
      <w:pPr>
        <w:ind w:firstLine="555"/>
        <w:rPr>
          <w:rFonts w:ascii="仿宋" w:hAnsi="仿宋" w:eastAsia="仿宋" w:cs="Times New Roman"/>
          <w:bCs/>
          <w:sz w:val="28"/>
          <w:szCs w:val="28"/>
        </w:rPr>
      </w:pPr>
      <w:r>
        <w:rPr>
          <w:rFonts w:ascii="仿宋" w:hAnsi="仿宋" w:eastAsia="仿宋" w:cs="Times New Roman"/>
          <w:bCs/>
          <w:sz w:val="28"/>
          <w:szCs w:val="28"/>
        </w:rPr>
        <w:t>完善高标准农田建后管护制度，明确地方各级政府相关责任，落实管护主体，压实管护责任。发挥村级组织、承包经营者在工程管护中的主体作用，落实受益对象管护投入责任，引导和激励专业大户、家庭农场、农民合作社等参与农田设施的日常维护。相关基层服务组织要加强对管护主体和管护人员的定期技术指导、服务和监管。</w:t>
      </w:r>
    </w:p>
    <w:p>
      <w:pPr>
        <w:ind w:firstLine="555"/>
        <w:rPr>
          <w:rFonts w:ascii="仿宋" w:hAnsi="仿宋" w:eastAsia="仿宋" w:cs="Times New Roman"/>
          <w:bCs/>
          <w:sz w:val="28"/>
          <w:szCs w:val="28"/>
        </w:rPr>
      </w:pPr>
      <w:r>
        <w:rPr>
          <w:rFonts w:hint="eastAsia" w:ascii="仿宋" w:hAnsi="仿宋" w:eastAsia="仿宋" w:cs="Times New Roman"/>
          <w:bCs/>
          <w:sz w:val="28"/>
          <w:szCs w:val="28"/>
        </w:rPr>
        <w:t>2</w:t>
      </w:r>
      <w:r>
        <w:rPr>
          <w:rFonts w:ascii="仿宋" w:hAnsi="仿宋" w:eastAsia="仿宋" w:cs="Times New Roman"/>
          <w:bCs/>
          <w:sz w:val="28"/>
          <w:szCs w:val="28"/>
        </w:rPr>
        <w:t>.</w:t>
      </w:r>
      <w:r>
        <w:rPr>
          <w:rFonts w:hint="eastAsia" w:ascii="仿宋" w:hAnsi="仿宋" w:eastAsia="仿宋" w:cs="Times New Roman"/>
          <w:bCs/>
          <w:sz w:val="28"/>
          <w:szCs w:val="28"/>
        </w:rPr>
        <w:t>健全管护机制</w:t>
      </w:r>
    </w:p>
    <w:p>
      <w:pPr>
        <w:ind w:firstLine="555"/>
        <w:rPr>
          <w:rFonts w:ascii="仿宋" w:hAnsi="仿宋" w:eastAsia="仿宋" w:cs="Times New Roman"/>
          <w:bCs/>
          <w:sz w:val="28"/>
          <w:szCs w:val="28"/>
        </w:rPr>
      </w:pPr>
      <w:r>
        <w:rPr>
          <w:rFonts w:ascii="仿宋" w:hAnsi="仿宋" w:eastAsia="仿宋" w:cs="Times New Roman"/>
          <w:bCs/>
          <w:sz w:val="28"/>
          <w:szCs w:val="28"/>
        </w:rPr>
        <w:t>按照权责明晰、运行有效的原则，建立健全日常管护和专项维护相结合的工程管护机制。相关部门要做好灌溉与排水、农田林网、输配电等工程管护的衔接，确保管护机制落实到位。调动村级组织、受益农户、新型农业经营主体和专业管护机构、社会化服务组织等落实高标准农田管护责任的积极性，探索实行“田长制”项目建、管、护一体化等方式，形成多元化管护格局。</w:t>
      </w:r>
    </w:p>
    <w:p>
      <w:pPr>
        <w:ind w:firstLine="555"/>
        <w:rPr>
          <w:rFonts w:ascii="仿宋" w:hAnsi="仿宋" w:eastAsia="仿宋" w:cs="Times New Roman"/>
          <w:bCs/>
          <w:sz w:val="28"/>
          <w:szCs w:val="28"/>
        </w:rPr>
      </w:pPr>
      <w:r>
        <w:rPr>
          <w:rFonts w:hint="eastAsia" w:ascii="仿宋" w:hAnsi="仿宋" w:eastAsia="仿宋" w:cs="Times New Roman"/>
          <w:bCs/>
          <w:sz w:val="28"/>
          <w:szCs w:val="28"/>
        </w:rPr>
        <w:t>3</w:t>
      </w:r>
      <w:r>
        <w:rPr>
          <w:rFonts w:ascii="仿宋" w:hAnsi="仿宋" w:eastAsia="仿宋" w:cs="Times New Roman"/>
          <w:bCs/>
          <w:sz w:val="28"/>
          <w:szCs w:val="28"/>
        </w:rPr>
        <w:t>.</w:t>
      </w:r>
      <w:r>
        <w:rPr>
          <w:rFonts w:hint="eastAsia" w:ascii="仿宋" w:hAnsi="仿宋" w:eastAsia="仿宋" w:cs="Times New Roman"/>
          <w:bCs/>
          <w:sz w:val="28"/>
          <w:szCs w:val="28"/>
        </w:rPr>
        <w:t>落实管护资金</w:t>
      </w:r>
    </w:p>
    <w:p>
      <w:pPr>
        <w:ind w:firstLine="555"/>
        <w:rPr>
          <w:rFonts w:ascii="仿宋" w:hAnsi="仿宋" w:eastAsia="仿宋" w:cs="Times New Roman"/>
          <w:bCs/>
          <w:sz w:val="28"/>
          <w:szCs w:val="28"/>
        </w:rPr>
      </w:pPr>
      <w:r>
        <w:rPr>
          <w:rFonts w:ascii="仿宋" w:hAnsi="仿宋" w:eastAsia="仿宋" w:cs="Times New Roman"/>
          <w:bCs/>
          <w:sz w:val="28"/>
          <w:szCs w:val="28"/>
        </w:rPr>
        <w:t>基于</w:t>
      </w:r>
      <w:r>
        <w:rPr>
          <w:rFonts w:hint="eastAsia" w:ascii="仿宋" w:hAnsi="仿宋" w:eastAsia="仿宋" w:cs="Times New Roman"/>
          <w:bCs/>
          <w:sz w:val="28"/>
          <w:szCs w:val="28"/>
        </w:rPr>
        <w:t>云和县</w:t>
      </w:r>
      <w:r>
        <w:rPr>
          <w:rFonts w:ascii="仿宋" w:hAnsi="仿宋" w:eastAsia="仿宋" w:cs="Times New Roman"/>
          <w:bCs/>
          <w:sz w:val="28"/>
          <w:szCs w:val="28"/>
        </w:rPr>
        <w:t>农业水价综合改革要求</w:t>
      </w:r>
      <w:r>
        <w:rPr>
          <w:rFonts w:hint="eastAsia" w:ascii="仿宋" w:hAnsi="仿宋" w:eastAsia="仿宋" w:cs="Times New Roman"/>
          <w:bCs/>
          <w:sz w:val="28"/>
          <w:szCs w:val="28"/>
        </w:rPr>
        <w:t>，</w:t>
      </w:r>
      <w:r>
        <w:rPr>
          <w:rFonts w:ascii="仿宋" w:hAnsi="仿宋" w:eastAsia="仿宋" w:cs="Times New Roman"/>
          <w:bCs/>
          <w:sz w:val="28"/>
          <w:szCs w:val="28"/>
        </w:rPr>
        <w:t>建立农田建设项目管护经费合理保障机制，制订管护经费标准，对管护资金全面实施预算绩效管理。对灌溉渠系、喷灌、微灌设施、机耕路、生产桥</w:t>
      </w:r>
      <w:r>
        <w:rPr>
          <w:rFonts w:hint="eastAsia" w:ascii="仿宋" w:hAnsi="仿宋" w:eastAsia="仿宋" w:cs="Times New Roman"/>
          <w:bCs/>
          <w:sz w:val="28"/>
          <w:szCs w:val="28"/>
        </w:rPr>
        <w:t>（</w:t>
      </w:r>
      <w:r>
        <w:rPr>
          <w:rFonts w:ascii="仿宋" w:hAnsi="仿宋" w:eastAsia="仿宋" w:cs="Times New Roman"/>
          <w:bCs/>
          <w:sz w:val="28"/>
          <w:szCs w:val="28"/>
        </w:rPr>
        <w:t>涵</w:t>
      </w:r>
      <w:r>
        <w:rPr>
          <w:rFonts w:hint="eastAsia" w:ascii="仿宋" w:hAnsi="仿宋" w:eastAsia="仿宋" w:cs="Times New Roman"/>
          <w:bCs/>
          <w:sz w:val="28"/>
          <w:szCs w:val="28"/>
        </w:rPr>
        <w:t>）</w:t>
      </w:r>
      <w:r>
        <w:rPr>
          <w:rFonts w:ascii="仿宋" w:hAnsi="仿宋" w:eastAsia="仿宋" w:cs="Times New Roman"/>
          <w:bCs/>
          <w:sz w:val="28"/>
          <w:szCs w:val="28"/>
        </w:rPr>
        <w:t>、农田林网等公益性强的农田基础设施管护，地方政府根据实际情况适当给予运行管护经费补助。完善鼓励社会资本积极参与高标准农田管护的政策措施，保障管护主体合理收益。鼓励开展高标准农田工程设施灾毁保险。</w:t>
      </w:r>
    </w:p>
    <w:p>
      <w:pPr>
        <w:ind w:firstLine="555"/>
        <w:rPr>
          <w:rFonts w:ascii="仿宋" w:hAnsi="仿宋" w:eastAsia="仿宋" w:cs="Times New Roman"/>
          <w:bCs/>
          <w:sz w:val="28"/>
          <w:szCs w:val="28"/>
        </w:rPr>
      </w:pPr>
      <w:r>
        <w:rPr>
          <w:rFonts w:hint="eastAsia" w:ascii="仿宋" w:hAnsi="仿宋" w:eastAsia="仿宋" w:cs="Times New Roman"/>
          <w:bCs/>
          <w:sz w:val="28"/>
          <w:szCs w:val="28"/>
        </w:rPr>
        <w:t>4</w:t>
      </w:r>
      <w:r>
        <w:rPr>
          <w:rFonts w:ascii="仿宋" w:hAnsi="仿宋" w:eastAsia="仿宋" w:cs="Times New Roman"/>
          <w:bCs/>
          <w:sz w:val="28"/>
          <w:szCs w:val="28"/>
        </w:rPr>
        <w:t>.</w:t>
      </w:r>
      <w:r>
        <w:rPr>
          <w:rFonts w:hint="eastAsia" w:ascii="仿宋" w:hAnsi="仿宋" w:eastAsia="仿宋" w:cs="Times New Roman"/>
          <w:bCs/>
          <w:sz w:val="28"/>
          <w:szCs w:val="28"/>
        </w:rPr>
        <w:t>强化用途管制</w:t>
      </w:r>
    </w:p>
    <w:p>
      <w:pPr>
        <w:ind w:firstLine="555"/>
        <w:rPr>
          <w:rFonts w:ascii="仿宋" w:hAnsi="仿宋" w:eastAsia="仿宋" w:cs="Times New Roman"/>
          <w:bCs/>
          <w:sz w:val="28"/>
          <w:szCs w:val="28"/>
        </w:rPr>
      </w:pPr>
      <w:r>
        <w:rPr>
          <w:rFonts w:ascii="仿宋" w:hAnsi="仿宋" w:eastAsia="仿宋" w:cs="Times New Roman"/>
          <w:bCs/>
          <w:sz w:val="28"/>
          <w:szCs w:val="28"/>
        </w:rPr>
        <w:t>已建成的高标准农田，要实行特殊保护，遏制“非农化”、防止“非粮化”，任何单位和个人不得损毁、擅自占用或改变用途。严格耕地占用审批，经依法批准占用高标准农田的，要及时补充，确保高标准农田数量不减少、质量不降低。</w:t>
      </w:r>
    </w:p>
    <w:p>
      <w:pPr>
        <w:ind w:firstLine="555"/>
        <w:rPr>
          <w:rFonts w:ascii="仿宋" w:hAnsi="仿宋" w:eastAsia="仿宋" w:cs="Times New Roman"/>
          <w:bCs/>
          <w:sz w:val="28"/>
          <w:szCs w:val="28"/>
        </w:rPr>
      </w:pPr>
      <w:r>
        <w:rPr>
          <w:rFonts w:hint="eastAsia" w:ascii="仿宋" w:hAnsi="仿宋" w:eastAsia="仿宋" w:cs="Times New Roman"/>
          <w:bCs/>
          <w:sz w:val="28"/>
          <w:szCs w:val="28"/>
        </w:rPr>
        <w:t>5</w:t>
      </w:r>
      <w:r>
        <w:rPr>
          <w:rFonts w:ascii="仿宋" w:hAnsi="仿宋" w:eastAsia="仿宋" w:cs="Times New Roman"/>
          <w:bCs/>
          <w:sz w:val="28"/>
          <w:szCs w:val="28"/>
        </w:rPr>
        <w:t>.</w:t>
      </w:r>
      <w:r>
        <w:rPr>
          <w:rFonts w:hint="eastAsia" w:ascii="仿宋" w:hAnsi="仿宋" w:eastAsia="仿宋" w:cs="Times New Roman"/>
          <w:bCs/>
          <w:sz w:val="28"/>
          <w:szCs w:val="28"/>
        </w:rPr>
        <w:t>加强农田保护</w:t>
      </w:r>
    </w:p>
    <w:p>
      <w:pPr>
        <w:ind w:firstLine="555"/>
        <w:rPr>
          <w:rFonts w:ascii="仿宋" w:hAnsi="仿宋" w:eastAsia="仿宋" w:cs="Times New Roman"/>
          <w:bCs/>
          <w:sz w:val="28"/>
          <w:szCs w:val="28"/>
        </w:rPr>
      </w:pPr>
      <w:r>
        <w:rPr>
          <w:rFonts w:ascii="仿宋" w:hAnsi="仿宋" w:eastAsia="仿宋" w:cs="Times New Roman"/>
          <w:bCs/>
          <w:sz w:val="28"/>
          <w:szCs w:val="28"/>
        </w:rPr>
        <w:t>推行合理耕作制度，实行用地养地相结合，加强后续培肥，防止地力下降，确保可持续利用。对水毁等自然损毁的高标准农田，要纳入年度建设任务，及时进行修复或补充。严禁将污水排入农田，严禁将生活垃圾、工业废弃物等倾倒、排放、存放到农田。</w:t>
      </w:r>
    </w:p>
    <w:p>
      <w:pPr>
        <w:ind w:firstLine="555"/>
        <w:rPr>
          <w:rFonts w:ascii="仿宋" w:hAnsi="仿宋" w:eastAsia="仿宋" w:cs="Times New Roman"/>
          <w:bCs/>
          <w:sz w:val="28"/>
          <w:szCs w:val="28"/>
        </w:rPr>
      </w:pPr>
      <w:r>
        <w:rPr>
          <w:rFonts w:hint="eastAsia" w:ascii="仿宋" w:hAnsi="仿宋" w:eastAsia="仿宋" w:cs="Times New Roman"/>
          <w:bCs/>
          <w:sz w:val="28"/>
          <w:szCs w:val="28"/>
        </w:rPr>
        <w:t>6</w:t>
      </w:r>
      <w:r>
        <w:rPr>
          <w:rFonts w:ascii="仿宋" w:hAnsi="仿宋" w:eastAsia="仿宋" w:cs="Times New Roman"/>
          <w:bCs/>
          <w:sz w:val="28"/>
          <w:szCs w:val="28"/>
        </w:rPr>
        <w:t>.</w:t>
      </w:r>
      <w:r>
        <w:rPr>
          <w:rFonts w:hint="eastAsia" w:ascii="仿宋" w:hAnsi="仿宋" w:eastAsia="仿宋" w:cs="Times New Roman"/>
          <w:bCs/>
          <w:sz w:val="28"/>
          <w:szCs w:val="28"/>
        </w:rPr>
        <w:t>坚持良田粮用</w:t>
      </w:r>
    </w:p>
    <w:p>
      <w:pPr>
        <w:ind w:firstLine="555"/>
        <w:rPr>
          <w:rFonts w:ascii="仿宋" w:hAnsi="仿宋" w:eastAsia="仿宋" w:cs="Times New Roman"/>
          <w:bCs/>
          <w:sz w:val="28"/>
          <w:szCs w:val="28"/>
        </w:rPr>
      </w:pPr>
      <w:r>
        <w:rPr>
          <w:rFonts w:ascii="仿宋" w:hAnsi="仿宋" w:eastAsia="仿宋" w:cs="Times New Roman"/>
          <w:bCs/>
          <w:sz w:val="28"/>
          <w:szCs w:val="28"/>
        </w:rPr>
        <w:t>完善粮食主产区利益补偿机制，健全产粮大</w:t>
      </w:r>
      <w:r>
        <w:rPr>
          <w:rFonts w:hint="eastAsia" w:ascii="仿宋" w:hAnsi="仿宋" w:eastAsia="仿宋" w:cs="Times New Roman"/>
          <w:bCs/>
          <w:sz w:val="28"/>
          <w:szCs w:val="28"/>
        </w:rPr>
        <w:t>户</w:t>
      </w:r>
      <w:r>
        <w:rPr>
          <w:rFonts w:ascii="仿宋" w:hAnsi="仿宋" w:eastAsia="仿宋" w:cs="Times New Roman"/>
          <w:bCs/>
          <w:sz w:val="28"/>
          <w:szCs w:val="28"/>
        </w:rPr>
        <w:t>奖补政策和农民种粮激励政策，压实主销区和产销平衡区稳定粮食生产责任，保障农民种粮合理收益，调动地方政府重农抓粮积极性和农民种粮积极性。引导高标准农田集中用于重要农产品特别是粮食生产。引导作物一年两熟以上的粮食生产功能区至少生产一季粮食，种植非粮作物的要在一季后能够恢复粮食生产。</w:t>
      </w:r>
    </w:p>
    <w:p>
      <w:pPr>
        <w:ind w:firstLine="555"/>
        <w:rPr>
          <w:rFonts w:ascii="仿宋" w:hAnsi="仿宋" w:eastAsia="仿宋" w:cs="Times New Roman"/>
          <w:bCs/>
          <w:sz w:val="28"/>
          <w:szCs w:val="28"/>
        </w:rPr>
      </w:pPr>
    </w:p>
    <w:p>
      <w:pPr>
        <w:adjustRightInd w:val="0"/>
        <w:snapToGrid w:val="0"/>
        <w:spacing w:line="360" w:lineRule="auto"/>
        <w:ind w:firstLine="560" w:firstLineChars="200"/>
        <w:rPr>
          <w:rFonts w:ascii="仿宋" w:hAnsi="仿宋" w:eastAsia="仿宋" w:cs="Times New Roman"/>
          <w:bCs/>
          <w:sz w:val="28"/>
          <w:szCs w:val="28"/>
        </w:rPr>
      </w:pPr>
    </w:p>
    <w:p>
      <w:pPr>
        <w:widowControl/>
        <w:jc w:val="left"/>
        <w:rPr>
          <w:rFonts w:ascii="仿宋" w:hAnsi="仿宋" w:eastAsia="仿宋" w:cs="Times New Roman"/>
          <w:b/>
          <w:kern w:val="44"/>
          <w:sz w:val="36"/>
          <w:szCs w:val="36"/>
        </w:rPr>
      </w:pPr>
      <w:r>
        <w:rPr>
          <w:rFonts w:ascii="仿宋" w:hAnsi="仿宋" w:eastAsia="仿宋" w:cs="Times New Roman"/>
          <w:b/>
          <w:kern w:val="44"/>
          <w:sz w:val="36"/>
          <w:szCs w:val="36"/>
        </w:rPr>
        <w:br w:type="page"/>
      </w:r>
    </w:p>
    <w:p>
      <w:pPr>
        <w:keepNext/>
        <w:keepLines/>
        <w:tabs>
          <w:tab w:val="left" w:pos="2700"/>
        </w:tabs>
        <w:spacing w:before="340" w:after="330" w:line="578" w:lineRule="auto"/>
        <w:jc w:val="center"/>
        <w:outlineLvl w:val="0"/>
        <w:rPr>
          <w:rFonts w:ascii="仿宋" w:hAnsi="仿宋" w:eastAsia="仿宋" w:cs="Times New Roman"/>
          <w:b/>
          <w:kern w:val="44"/>
          <w:sz w:val="36"/>
          <w:szCs w:val="36"/>
        </w:rPr>
      </w:pPr>
      <w:bookmarkStart w:id="57" w:name="_Toc99549053"/>
      <w:r>
        <w:rPr>
          <w:rFonts w:hint="eastAsia" w:ascii="仿宋" w:hAnsi="仿宋" w:eastAsia="仿宋" w:cs="Times New Roman"/>
          <w:b/>
          <w:kern w:val="44"/>
          <w:sz w:val="36"/>
          <w:szCs w:val="36"/>
        </w:rPr>
        <w:t>第八章</w:t>
      </w:r>
      <w:r>
        <w:rPr>
          <w:rFonts w:ascii="仿宋" w:hAnsi="仿宋" w:eastAsia="仿宋" w:cs="Times New Roman"/>
          <w:b/>
          <w:kern w:val="44"/>
          <w:sz w:val="36"/>
          <w:szCs w:val="36"/>
        </w:rPr>
        <w:t xml:space="preserve"> 水资源与环境分析</w:t>
      </w:r>
      <w:bookmarkEnd w:id="57"/>
    </w:p>
    <w:p>
      <w:pPr>
        <w:keepNext/>
        <w:keepLines/>
        <w:spacing w:before="260" w:after="260" w:line="416" w:lineRule="auto"/>
        <w:jc w:val="left"/>
        <w:outlineLvl w:val="1"/>
        <w:rPr>
          <w:rFonts w:ascii="仿宋" w:hAnsi="仿宋" w:eastAsia="仿宋" w:cs="Times New Roman"/>
          <w:b/>
          <w:sz w:val="30"/>
          <w:szCs w:val="30"/>
        </w:rPr>
      </w:pPr>
      <w:bookmarkStart w:id="58" w:name="_Toc99549054"/>
      <w:r>
        <w:rPr>
          <w:rFonts w:hint="eastAsia" w:ascii="仿宋" w:hAnsi="仿宋" w:eastAsia="仿宋" w:cs="Times New Roman"/>
          <w:b/>
          <w:sz w:val="30"/>
          <w:szCs w:val="30"/>
        </w:rPr>
        <w:t>一、</w:t>
      </w:r>
      <w:r>
        <w:rPr>
          <w:rFonts w:ascii="仿宋" w:hAnsi="仿宋" w:eastAsia="仿宋" w:cs="Times New Roman"/>
          <w:b/>
          <w:sz w:val="30"/>
          <w:szCs w:val="30"/>
        </w:rPr>
        <w:t>水资源供需平衡分析</w:t>
      </w:r>
      <w:bookmarkEnd w:id="58"/>
    </w:p>
    <w:p>
      <w:pPr>
        <w:ind w:firstLine="555"/>
        <w:rPr>
          <w:rFonts w:ascii="仿宋" w:hAnsi="仿宋" w:eastAsia="仿宋" w:cs="Times New Roman"/>
          <w:bCs/>
          <w:sz w:val="28"/>
          <w:szCs w:val="28"/>
        </w:rPr>
      </w:pPr>
      <w:r>
        <w:rPr>
          <w:rFonts w:hint="eastAsia" w:ascii="仿宋" w:hAnsi="仿宋" w:eastAsia="仿宋" w:cs="Times New Roman"/>
          <w:bCs/>
          <w:sz w:val="28"/>
          <w:szCs w:val="28"/>
        </w:rPr>
        <w:t>1</w:t>
      </w:r>
      <w:r>
        <w:rPr>
          <w:rFonts w:ascii="仿宋" w:hAnsi="仿宋" w:eastAsia="仿宋" w:cs="Times New Roman"/>
          <w:bCs/>
          <w:sz w:val="28"/>
          <w:szCs w:val="28"/>
        </w:rPr>
        <w:t>.水资源现状</w:t>
      </w:r>
    </w:p>
    <w:p>
      <w:pPr>
        <w:ind w:firstLine="555"/>
        <w:rPr>
          <w:rFonts w:ascii="仿宋" w:hAnsi="仿宋" w:eastAsia="仿宋" w:cs="Times New Roman"/>
          <w:bCs/>
          <w:sz w:val="28"/>
          <w:szCs w:val="28"/>
        </w:rPr>
      </w:pPr>
      <w:r>
        <w:rPr>
          <w:rFonts w:hint="eastAsia" w:ascii="仿宋" w:hAnsi="仿宋" w:eastAsia="仿宋" w:cs="Times New Roman"/>
          <w:bCs/>
          <w:sz w:val="28"/>
          <w:szCs w:val="28"/>
        </w:rPr>
        <w:t>云和县全境河流属瓯江上游水系的两条干支流：一为瓯江干流龙泉溪，一为瓯江支流小溪的支流梧桐坑，</w:t>
      </w:r>
      <w:r>
        <w:rPr>
          <w:rFonts w:ascii="仿宋" w:hAnsi="仿宋" w:eastAsia="仿宋" w:cs="Times New Roman"/>
          <w:bCs/>
          <w:sz w:val="28"/>
          <w:szCs w:val="28"/>
        </w:rPr>
        <w:t>各流域开发利用率以浮云溪干流为最高。</w:t>
      </w:r>
      <w:r>
        <w:rPr>
          <w:rFonts w:hint="eastAsia" w:ascii="仿宋" w:hAnsi="仿宋" w:eastAsia="仿宋" w:cs="Times New Roman"/>
          <w:bCs/>
          <w:sz w:val="28"/>
          <w:szCs w:val="28"/>
        </w:rPr>
        <w:t>2</w:t>
      </w:r>
      <w:r>
        <w:rPr>
          <w:rFonts w:ascii="仿宋" w:hAnsi="仿宋" w:eastAsia="仿宋" w:cs="Times New Roman"/>
          <w:bCs/>
          <w:sz w:val="28"/>
          <w:szCs w:val="28"/>
        </w:rPr>
        <w:t>020</w:t>
      </w:r>
      <w:r>
        <w:rPr>
          <w:rFonts w:hint="eastAsia" w:ascii="仿宋" w:hAnsi="仿宋" w:eastAsia="仿宋" w:cs="Times New Roman"/>
          <w:bCs/>
          <w:sz w:val="28"/>
          <w:szCs w:val="28"/>
        </w:rPr>
        <w:t>年云和县总降水量1</w:t>
      </w:r>
      <w:r>
        <w:rPr>
          <w:rFonts w:ascii="仿宋" w:hAnsi="仿宋" w:eastAsia="仿宋" w:cs="Times New Roman"/>
          <w:bCs/>
          <w:sz w:val="28"/>
          <w:szCs w:val="28"/>
        </w:rPr>
        <w:t>4.01亿立方米</w:t>
      </w:r>
      <w:r>
        <w:rPr>
          <w:rFonts w:hint="eastAsia" w:ascii="仿宋" w:hAnsi="仿宋" w:eastAsia="仿宋" w:cs="Times New Roman"/>
          <w:bCs/>
          <w:sz w:val="28"/>
          <w:szCs w:val="28"/>
        </w:rPr>
        <w:t>，水资源总量7</w:t>
      </w:r>
      <w:r>
        <w:rPr>
          <w:rFonts w:ascii="仿宋" w:hAnsi="仿宋" w:eastAsia="仿宋" w:cs="Times New Roman"/>
          <w:bCs/>
          <w:sz w:val="28"/>
          <w:szCs w:val="28"/>
        </w:rPr>
        <w:t>.31 亿立方米</w:t>
      </w:r>
      <w:r>
        <w:rPr>
          <w:rFonts w:hint="eastAsia" w:ascii="仿宋" w:hAnsi="仿宋" w:eastAsia="仿宋" w:cs="Times New Roman"/>
          <w:bCs/>
          <w:sz w:val="28"/>
          <w:szCs w:val="28"/>
        </w:rPr>
        <w:t>，全县总用水量0</w:t>
      </w:r>
      <w:r>
        <w:rPr>
          <w:rFonts w:ascii="仿宋" w:hAnsi="仿宋" w:eastAsia="仿宋" w:cs="Times New Roman"/>
          <w:bCs/>
          <w:sz w:val="28"/>
          <w:szCs w:val="28"/>
        </w:rPr>
        <w:t>.40 亿立方米</w:t>
      </w:r>
      <w:r>
        <w:rPr>
          <w:rFonts w:hint="eastAsia" w:ascii="仿宋" w:hAnsi="仿宋" w:eastAsia="仿宋" w:cs="Times New Roman"/>
          <w:bCs/>
          <w:sz w:val="28"/>
          <w:szCs w:val="28"/>
        </w:rPr>
        <w:t>。</w:t>
      </w:r>
    </w:p>
    <w:p>
      <w:pPr>
        <w:ind w:firstLine="555"/>
        <w:rPr>
          <w:rFonts w:ascii="仿宋" w:hAnsi="仿宋" w:eastAsia="仿宋" w:cs="Times New Roman"/>
          <w:bCs/>
          <w:sz w:val="28"/>
          <w:szCs w:val="28"/>
        </w:rPr>
      </w:pPr>
      <w:r>
        <w:rPr>
          <w:rFonts w:hint="eastAsia" w:ascii="仿宋" w:hAnsi="仿宋" w:eastAsia="仿宋" w:cs="Times New Roman"/>
          <w:bCs/>
          <w:sz w:val="28"/>
          <w:szCs w:val="28"/>
        </w:rPr>
        <w:t>2</w:t>
      </w:r>
      <w:r>
        <w:rPr>
          <w:rFonts w:ascii="仿宋" w:hAnsi="仿宋" w:eastAsia="仿宋" w:cs="Times New Roman"/>
          <w:bCs/>
          <w:sz w:val="28"/>
          <w:szCs w:val="28"/>
        </w:rPr>
        <w:t>.水资源供需平衡分析</w:t>
      </w:r>
    </w:p>
    <w:p>
      <w:pPr>
        <w:ind w:firstLine="555"/>
        <w:rPr>
          <w:rFonts w:ascii="仿宋" w:hAnsi="仿宋" w:eastAsia="仿宋" w:cs="Times New Roman"/>
          <w:bCs/>
          <w:sz w:val="28"/>
          <w:szCs w:val="28"/>
        </w:rPr>
      </w:pPr>
      <w:r>
        <w:rPr>
          <w:rFonts w:hint="eastAsia" w:ascii="仿宋" w:hAnsi="仿宋" w:eastAsia="仿宋" w:cs="Times New Roman"/>
          <w:bCs/>
          <w:sz w:val="28"/>
          <w:szCs w:val="28"/>
        </w:rPr>
        <w:t>“十四五”时期，全县规划新建高标准农田</w:t>
      </w:r>
      <w:r>
        <w:rPr>
          <w:rFonts w:ascii="仿宋" w:hAnsi="仿宋" w:eastAsia="仿宋" w:cs="Times New Roman"/>
          <w:bCs/>
          <w:sz w:val="28"/>
          <w:szCs w:val="28"/>
        </w:rPr>
        <w:t>0.17万亩、改造提升0.73万亩、新增高效节水灌溉0.04万亩</w:t>
      </w:r>
      <w:r>
        <w:rPr>
          <w:rFonts w:hint="eastAsia" w:ascii="仿宋" w:hAnsi="仿宋" w:eastAsia="仿宋" w:cs="Times New Roman"/>
          <w:bCs/>
          <w:sz w:val="28"/>
          <w:szCs w:val="28"/>
        </w:rPr>
        <w:t>、新建绿色农田0</w:t>
      </w:r>
      <w:r>
        <w:rPr>
          <w:rFonts w:ascii="仿宋" w:hAnsi="仿宋" w:eastAsia="仿宋" w:cs="Times New Roman"/>
          <w:bCs/>
          <w:sz w:val="28"/>
          <w:szCs w:val="28"/>
        </w:rPr>
        <w:t>.21</w:t>
      </w:r>
      <w:r>
        <w:rPr>
          <w:rFonts w:hint="eastAsia" w:ascii="仿宋" w:hAnsi="仿宋" w:eastAsia="仿宋" w:cs="Times New Roman"/>
          <w:bCs/>
          <w:sz w:val="28"/>
          <w:szCs w:val="28"/>
        </w:rPr>
        <w:t>万亩、农田宜机化改造0</w:t>
      </w:r>
      <w:r>
        <w:rPr>
          <w:rFonts w:ascii="仿宋" w:hAnsi="仿宋" w:eastAsia="仿宋" w:cs="Times New Roman"/>
          <w:bCs/>
          <w:sz w:val="28"/>
          <w:szCs w:val="28"/>
        </w:rPr>
        <w:t>.21</w:t>
      </w:r>
      <w:r>
        <w:rPr>
          <w:rFonts w:hint="eastAsia" w:ascii="仿宋" w:hAnsi="仿宋" w:eastAsia="仿宋" w:cs="Times New Roman"/>
          <w:bCs/>
          <w:sz w:val="28"/>
          <w:szCs w:val="28"/>
        </w:rPr>
        <w:t>万亩</w:t>
      </w:r>
      <w:r>
        <w:rPr>
          <w:rFonts w:ascii="仿宋" w:hAnsi="仿宋" w:eastAsia="仿宋" w:cs="Times New Roman"/>
          <w:bCs/>
          <w:sz w:val="28"/>
          <w:szCs w:val="28"/>
        </w:rPr>
        <w:t>。规划期内，通过铺设地下防渗管道等节水灌溉工程，采用高效综合节水灌溉制度，结合微喷灌、生态沟渠等技术，减少输水损失，避免盲目灌溉，降低农业灌溉用水量，</w:t>
      </w:r>
      <w:r>
        <w:rPr>
          <w:rFonts w:hint="eastAsia" w:ascii="仿宋" w:hAnsi="仿宋" w:eastAsia="仿宋" w:cs="Times New Roman"/>
          <w:bCs/>
          <w:sz w:val="28"/>
          <w:szCs w:val="28"/>
        </w:rPr>
        <w:t>提升</w:t>
      </w:r>
      <w:r>
        <w:rPr>
          <w:rFonts w:ascii="仿宋" w:hAnsi="仿宋" w:eastAsia="仿宋" w:cs="Times New Roman"/>
          <w:bCs/>
          <w:sz w:val="28"/>
          <w:szCs w:val="28"/>
        </w:rPr>
        <w:t>农田灌溉水利用系数。高标准农田建设过程中的衬砌渠道、高效节水灌溉等工程，不仅不会增加用水量，反而能有效提升用水效率，节约农业生产用水。本规划基本</w:t>
      </w:r>
      <w:r>
        <w:rPr>
          <w:rFonts w:hint="eastAsia" w:ascii="仿宋" w:hAnsi="仿宋" w:eastAsia="仿宋" w:cs="Times New Roman"/>
          <w:bCs/>
          <w:sz w:val="28"/>
          <w:szCs w:val="28"/>
        </w:rPr>
        <w:t>不增加水源工程，现有可供水量能够满足新建和改造提升高标准农田的用水需求。</w:t>
      </w:r>
    </w:p>
    <w:p>
      <w:pPr>
        <w:keepNext/>
        <w:keepLines/>
        <w:spacing w:before="260" w:after="260" w:line="416" w:lineRule="auto"/>
        <w:jc w:val="left"/>
        <w:outlineLvl w:val="1"/>
        <w:rPr>
          <w:rFonts w:ascii="仿宋" w:hAnsi="仿宋" w:eastAsia="仿宋" w:cs="Times New Roman"/>
          <w:b/>
          <w:sz w:val="30"/>
          <w:szCs w:val="30"/>
        </w:rPr>
      </w:pPr>
      <w:bookmarkStart w:id="59" w:name="_Toc99549055"/>
      <w:r>
        <w:rPr>
          <w:rFonts w:hint="eastAsia" w:ascii="仿宋" w:hAnsi="仿宋" w:eastAsia="仿宋" w:cs="Times New Roman"/>
          <w:b/>
          <w:sz w:val="30"/>
          <w:szCs w:val="30"/>
        </w:rPr>
        <w:t>二、</w:t>
      </w:r>
      <w:r>
        <w:rPr>
          <w:rFonts w:ascii="仿宋" w:hAnsi="仿宋" w:eastAsia="仿宋" w:cs="Times New Roman"/>
          <w:b/>
          <w:sz w:val="30"/>
          <w:szCs w:val="30"/>
        </w:rPr>
        <w:t>环境影响分析</w:t>
      </w:r>
      <w:bookmarkEnd w:id="59"/>
    </w:p>
    <w:p>
      <w:pPr>
        <w:ind w:firstLine="555"/>
        <w:rPr>
          <w:rFonts w:ascii="仿宋" w:hAnsi="仿宋" w:eastAsia="仿宋" w:cs="Times New Roman"/>
          <w:bCs/>
          <w:sz w:val="28"/>
          <w:szCs w:val="28"/>
        </w:rPr>
      </w:pPr>
      <w:r>
        <w:rPr>
          <w:rFonts w:hint="eastAsia" w:ascii="仿宋" w:hAnsi="仿宋" w:eastAsia="仿宋" w:cs="Times New Roman"/>
          <w:bCs/>
          <w:sz w:val="28"/>
          <w:szCs w:val="28"/>
        </w:rPr>
        <w:t>1</w:t>
      </w:r>
      <w:r>
        <w:rPr>
          <w:rFonts w:ascii="仿宋" w:hAnsi="仿宋" w:eastAsia="仿宋" w:cs="Times New Roman"/>
          <w:bCs/>
          <w:sz w:val="28"/>
          <w:szCs w:val="28"/>
        </w:rPr>
        <w:t>.水资源利用对生态环境的影响</w:t>
      </w:r>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高标准农田建设旨在提高农田基础设施水平，提升农田防灾减灾能力。通过提高灌溉水利用系数和灌溉保证率，从而增加和改善灌溉面积，对流域的水量和水质影响较小。</w:t>
      </w:r>
    </w:p>
    <w:p>
      <w:pPr>
        <w:ind w:firstLine="555"/>
        <w:rPr>
          <w:rFonts w:ascii="仿宋" w:hAnsi="仿宋" w:eastAsia="仿宋" w:cs="Times New Roman"/>
          <w:bCs/>
          <w:sz w:val="28"/>
          <w:szCs w:val="28"/>
        </w:rPr>
      </w:pPr>
      <w:r>
        <w:rPr>
          <w:rFonts w:hint="eastAsia" w:ascii="仿宋" w:hAnsi="仿宋" w:eastAsia="仿宋" w:cs="Times New Roman"/>
          <w:bCs/>
          <w:sz w:val="28"/>
          <w:szCs w:val="28"/>
        </w:rPr>
        <w:t>2</w:t>
      </w:r>
      <w:r>
        <w:rPr>
          <w:rFonts w:ascii="仿宋" w:hAnsi="仿宋" w:eastAsia="仿宋" w:cs="Times New Roman"/>
          <w:bCs/>
          <w:sz w:val="28"/>
          <w:szCs w:val="28"/>
        </w:rPr>
        <w:t>.工程建设对水土流失的影响</w:t>
      </w:r>
    </w:p>
    <w:p>
      <w:pPr>
        <w:ind w:firstLine="555"/>
        <w:rPr>
          <w:rFonts w:ascii="仿宋" w:hAnsi="仿宋" w:eastAsia="仿宋" w:cs="Times New Roman"/>
          <w:bCs/>
          <w:sz w:val="28"/>
          <w:szCs w:val="28"/>
        </w:rPr>
      </w:pPr>
      <w:r>
        <w:rPr>
          <w:rFonts w:hint="eastAsia" w:ascii="仿宋" w:hAnsi="仿宋" w:eastAsia="仿宋" w:cs="Times New Roman"/>
          <w:bCs/>
          <w:sz w:val="28"/>
          <w:szCs w:val="28"/>
        </w:rPr>
        <w:t>本规划实施的高标准农田建设，主要工程为新建或改造小型泵站、沟渠、田间道路等，单个工程规模小，分布面广，工程施工周期短，在建设期内，不会造成较大面积水土流失，对当地环境影响轻微。只要采取相应措施，加强施工过程管理，尽量减少尘土飞扬，及时回填料土、清理工作场面，加强裸漏地面的绿化和管护，即可达到防止水土流失的要求。项目建成后，随着农田基础设施的改善、配套技术的应用、农田林网的完善等，可有效拦截泥沙、保水保肥，有效减轻土壤侵蚀强度，对防治水土流失、改善生态环境起到积极作用。</w:t>
      </w:r>
    </w:p>
    <w:p>
      <w:pPr>
        <w:ind w:firstLine="555"/>
        <w:rPr>
          <w:rFonts w:ascii="仿宋" w:hAnsi="仿宋" w:eastAsia="仿宋" w:cs="Times New Roman"/>
          <w:bCs/>
          <w:sz w:val="28"/>
          <w:szCs w:val="28"/>
        </w:rPr>
      </w:pPr>
      <w:r>
        <w:rPr>
          <w:rFonts w:hint="eastAsia" w:ascii="仿宋" w:hAnsi="仿宋" w:eastAsia="仿宋" w:cs="Times New Roman"/>
          <w:bCs/>
          <w:sz w:val="28"/>
          <w:szCs w:val="28"/>
        </w:rPr>
        <w:t>3</w:t>
      </w:r>
      <w:r>
        <w:rPr>
          <w:rFonts w:ascii="仿宋" w:hAnsi="仿宋" w:eastAsia="仿宋" w:cs="Times New Roman"/>
          <w:bCs/>
          <w:sz w:val="28"/>
          <w:szCs w:val="28"/>
        </w:rPr>
        <w:t>.农业投入品施用对环境的影响</w:t>
      </w:r>
    </w:p>
    <w:p>
      <w:pPr>
        <w:ind w:firstLine="555"/>
        <w:rPr>
          <w:rFonts w:ascii="仿宋" w:hAnsi="仿宋" w:eastAsia="仿宋" w:cs="Times New Roman"/>
          <w:bCs/>
          <w:sz w:val="28"/>
          <w:szCs w:val="28"/>
        </w:rPr>
        <w:sectPr>
          <w:footerReference r:id="rId7" w:type="default"/>
          <w:pgSz w:w="11906" w:h="16838"/>
          <w:pgMar w:top="1440" w:right="1800" w:bottom="1440" w:left="1800" w:header="851" w:footer="992" w:gutter="0"/>
          <w:pgNumType w:start="2"/>
          <w:cols w:space="425" w:num="1"/>
          <w:docGrid w:type="lines" w:linePitch="312" w:charSpace="0"/>
        </w:sectPr>
      </w:pPr>
      <w:r>
        <w:rPr>
          <w:rFonts w:hint="eastAsia" w:ascii="仿宋" w:hAnsi="仿宋" w:eastAsia="仿宋" w:cs="Times New Roman"/>
          <w:bCs/>
          <w:sz w:val="28"/>
          <w:szCs w:val="28"/>
        </w:rPr>
        <w:t>通过高标准农田建设，提高土壤肥力，改善农田小气候，可减轻对化肥和农药的依赖，同时通过推广科学施肥、秸秆还田、病虫害综合防治等技术，以及大力实施的高效节水灌溉工程，能促进节水、节肥、节药，将大大减少农业面源污染，极大促进水资源可持续利用和生态文明建设健康发展。</w:t>
      </w:r>
    </w:p>
    <w:p>
      <w:pPr>
        <w:keepNext/>
        <w:keepLines/>
        <w:tabs>
          <w:tab w:val="left" w:pos="2700"/>
        </w:tabs>
        <w:spacing w:before="340" w:after="330" w:line="578" w:lineRule="auto"/>
        <w:jc w:val="center"/>
        <w:outlineLvl w:val="0"/>
        <w:rPr>
          <w:rFonts w:ascii="仿宋" w:hAnsi="仿宋" w:eastAsia="仿宋" w:cs="Times New Roman"/>
          <w:b/>
          <w:kern w:val="44"/>
          <w:sz w:val="36"/>
          <w:szCs w:val="36"/>
        </w:rPr>
      </w:pPr>
      <w:bookmarkStart w:id="60" w:name="_Toc99549056"/>
      <w:bookmarkStart w:id="61" w:name="_Toc95983090"/>
      <w:r>
        <w:rPr>
          <w:rFonts w:hint="eastAsia" w:ascii="仿宋" w:hAnsi="仿宋" w:eastAsia="仿宋" w:cs="Times New Roman"/>
          <w:b/>
          <w:kern w:val="44"/>
          <w:sz w:val="36"/>
          <w:szCs w:val="36"/>
        </w:rPr>
        <w:t xml:space="preserve">第九章 </w:t>
      </w:r>
      <w:r>
        <w:rPr>
          <w:rFonts w:ascii="仿宋" w:hAnsi="仿宋" w:eastAsia="仿宋" w:cs="Times New Roman"/>
          <w:b/>
          <w:kern w:val="44"/>
          <w:sz w:val="36"/>
          <w:szCs w:val="36"/>
        </w:rPr>
        <w:t xml:space="preserve"> </w:t>
      </w:r>
      <w:r>
        <w:rPr>
          <w:rFonts w:hint="eastAsia" w:ascii="仿宋" w:hAnsi="仿宋" w:eastAsia="仿宋" w:cs="Times New Roman"/>
          <w:b/>
          <w:kern w:val="44"/>
          <w:sz w:val="36"/>
          <w:szCs w:val="36"/>
        </w:rPr>
        <w:t>保障措施</w:t>
      </w:r>
      <w:bookmarkEnd w:id="60"/>
      <w:bookmarkEnd w:id="61"/>
    </w:p>
    <w:p>
      <w:pPr>
        <w:keepNext/>
        <w:keepLines/>
        <w:spacing w:before="260" w:after="260" w:line="416" w:lineRule="auto"/>
        <w:jc w:val="left"/>
        <w:outlineLvl w:val="1"/>
        <w:rPr>
          <w:rFonts w:ascii="仿宋" w:hAnsi="仿宋" w:eastAsia="仿宋" w:cs="Times New Roman"/>
          <w:b/>
          <w:sz w:val="30"/>
          <w:szCs w:val="30"/>
        </w:rPr>
      </w:pPr>
      <w:bookmarkStart w:id="62" w:name="_Toc99549057"/>
      <w:bookmarkStart w:id="63" w:name="_Toc95983091"/>
      <w:r>
        <w:rPr>
          <w:rFonts w:hint="eastAsia" w:ascii="仿宋" w:hAnsi="仿宋" w:eastAsia="仿宋" w:cs="Times New Roman"/>
          <w:b/>
          <w:sz w:val="30"/>
          <w:szCs w:val="30"/>
        </w:rPr>
        <w:t>一、加强组织</w:t>
      </w:r>
      <w:bookmarkEnd w:id="62"/>
      <w:bookmarkEnd w:id="63"/>
    </w:p>
    <w:p>
      <w:pPr>
        <w:ind w:firstLine="555"/>
        <w:rPr>
          <w:rFonts w:ascii="仿宋" w:hAnsi="仿宋" w:eastAsia="仿宋" w:cs="Times New Roman"/>
          <w:bCs/>
          <w:sz w:val="28"/>
          <w:szCs w:val="28"/>
        </w:rPr>
      </w:pPr>
      <w:r>
        <w:rPr>
          <w:rFonts w:hint="eastAsia" w:ascii="仿宋" w:hAnsi="仿宋" w:eastAsia="仿宋" w:cs="Times New Roman"/>
          <w:bCs/>
          <w:sz w:val="28"/>
          <w:szCs w:val="28"/>
        </w:rPr>
        <w:t>高标准农田建设是国家乡村振兴战略和三农政策的重要组成部分，是促进农村发展和农民增收致富的有效措施。高标准农田建设是一项的复杂的系统工程，涉及到各个方面。为了扎实推进高标准农田建设，必须继续加强组织领导，建立和完善推进高标准农田建设的领导和组织协调机制，完善县政府领导牵头，县发改局、财政局、自然资源和规划局、农业农村局、水利局等相关部门参加的高标准农田建设领导小组，分析研究上级相关政策，解决高标准农田建设推进中遇到的问题，形成合力，共同推进相关项目的实施，镇街也要有高标准农田项目建设明确的领导和工作机制，具体承担相关项目实施工作。通过加强领导，精心组织，把高标准农田建设的各项目标和措施落到实处，为规划目标的实现打好基础，更好地发挥高标准农田建设在促进农业增效、农村发展和农民增收中的作用。</w:t>
      </w:r>
    </w:p>
    <w:p>
      <w:pPr>
        <w:keepNext/>
        <w:keepLines/>
        <w:spacing w:before="260" w:after="260" w:line="416" w:lineRule="auto"/>
        <w:jc w:val="left"/>
        <w:outlineLvl w:val="1"/>
        <w:rPr>
          <w:rFonts w:ascii="仿宋" w:hAnsi="仿宋" w:eastAsia="仿宋" w:cs="Times New Roman"/>
          <w:b/>
          <w:sz w:val="30"/>
          <w:szCs w:val="30"/>
        </w:rPr>
      </w:pPr>
      <w:bookmarkStart w:id="64" w:name="_Toc95983092"/>
      <w:bookmarkStart w:id="65" w:name="_Toc99549058"/>
      <w:r>
        <w:rPr>
          <w:rFonts w:hint="eastAsia" w:ascii="仿宋" w:hAnsi="仿宋" w:eastAsia="仿宋" w:cs="Times New Roman"/>
          <w:b/>
          <w:sz w:val="30"/>
          <w:szCs w:val="30"/>
        </w:rPr>
        <w:t>二、加大投资</w:t>
      </w:r>
      <w:bookmarkEnd w:id="64"/>
      <w:bookmarkEnd w:id="65"/>
    </w:p>
    <w:p>
      <w:pPr>
        <w:ind w:firstLine="555"/>
        <w:rPr>
          <w:rFonts w:ascii="仿宋" w:hAnsi="仿宋" w:eastAsia="仿宋" w:cs="Times New Roman"/>
          <w:bCs/>
          <w:sz w:val="28"/>
          <w:szCs w:val="28"/>
        </w:rPr>
      </w:pPr>
      <w:r>
        <w:rPr>
          <w:rFonts w:hint="eastAsia" w:ascii="仿宋" w:hAnsi="仿宋" w:eastAsia="仿宋" w:cs="Times New Roman"/>
          <w:bCs/>
          <w:sz w:val="28"/>
          <w:szCs w:val="28"/>
        </w:rPr>
        <w:t>按照规划布局和部署，在安排有关高标准农田建设相关资金时，要进一步突出重点，优化结构，稳定规模，保证高标准农田建设的资金需求。县本级财政将调整支出结构，根据上级相关要求，把本级安排的高标准农田建设配套资金纳入年度预算，优先安排，足额到位。按照“规划标准统一、资金渠道不变、相互协调配合、信息互通共享、积极推进整合、共同完成目标”的原则，加强不同渠道资金的有机整合，连片治理，整体推进，提高资金使用效率。建立多元化筹资机制，不断拓宽高标准农田建设资金投入渠道，形成建设合力。充分发挥财政资金的引导作用，制定优惠政策，积极吸引社会资本和农民投入到高标准农田建设完成后的产业化和规模化开发、社会化服务体系建设和科技推广等领域，提升高标准农田建设的效益。</w:t>
      </w:r>
    </w:p>
    <w:p>
      <w:pPr>
        <w:keepNext/>
        <w:keepLines/>
        <w:spacing w:before="260" w:after="260" w:line="416" w:lineRule="auto"/>
        <w:jc w:val="left"/>
        <w:outlineLvl w:val="1"/>
        <w:rPr>
          <w:rFonts w:ascii="仿宋" w:hAnsi="仿宋" w:eastAsia="仿宋" w:cs="Times New Roman"/>
          <w:b/>
          <w:sz w:val="30"/>
          <w:szCs w:val="30"/>
        </w:rPr>
      </w:pPr>
      <w:bookmarkStart w:id="66" w:name="_Toc95983093"/>
      <w:bookmarkStart w:id="67" w:name="_Toc99549059"/>
      <w:r>
        <w:rPr>
          <w:rFonts w:hint="eastAsia" w:ascii="仿宋" w:hAnsi="仿宋" w:eastAsia="仿宋" w:cs="Times New Roman"/>
          <w:b/>
          <w:sz w:val="30"/>
          <w:szCs w:val="30"/>
        </w:rPr>
        <w:t>三、制度支撑</w:t>
      </w:r>
      <w:bookmarkEnd w:id="66"/>
      <w:bookmarkEnd w:id="67"/>
    </w:p>
    <w:p>
      <w:pPr>
        <w:ind w:firstLine="555"/>
        <w:rPr>
          <w:rFonts w:ascii="仿宋" w:hAnsi="仿宋" w:eastAsia="仿宋" w:cs="Times New Roman"/>
          <w:bCs/>
          <w:sz w:val="28"/>
          <w:szCs w:val="28"/>
        </w:rPr>
      </w:pPr>
      <w:r>
        <w:rPr>
          <w:rFonts w:hint="eastAsia" w:ascii="仿宋" w:hAnsi="仿宋" w:eastAsia="仿宋" w:cs="Times New Roman"/>
          <w:bCs/>
          <w:sz w:val="28"/>
          <w:szCs w:val="28"/>
        </w:rPr>
        <w:t>规范严格、切实可行的制度是保证高标准农田建设顺利推进的关键。一是选好选准项目。要本着农民自愿的基本原则，对根据规划实施的各类涉及高标准农田建设的项目进行认真评估、筛选、论证，综合考虑资源条件、生产基础、市场环境及资金、技术和乡镇政府积极性、组织实施项目的综合能力等方面的因素。坚持集中连片，综合治理，大力发展优势特色主导产业，突出示范带动，实现优中选优。二是强化规划设计工作。切实提高项目规划设计水平，针对农田现状，进行水土田林路科学规划，合理设计，对照高标准农田建设标准，做到缺什么补什么、建什么，确保规划设计质量。三是规范项目管理。切实规范项目建设与管理，积极推行公开竞争立项制、土建工程和物资招投标制、工程建设监理制和项目竣工验收制等。四是严格资金管理。严格项目投资计划，实行项目资金专账核算、专款专用，实行县级财政报账制，严禁截留、挪用、套取项目建设资金行为，加强资金使用的监督检查，开展资金审计和绩效评估工作，确保各类项目资金真正用到高标准农田建设上。</w:t>
      </w:r>
    </w:p>
    <w:p>
      <w:pPr>
        <w:keepNext/>
        <w:keepLines/>
        <w:spacing w:before="260" w:after="260" w:line="416" w:lineRule="auto"/>
        <w:jc w:val="left"/>
        <w:outlineLvl w:val="1"/>
        <w:rPr>
          <w:rFonts w:ascii="仿宋" w:hAnsi="仿宋" w:eastAsia="仿宋" w:cs="Times New Roman"/>
          <w:b/>
          <w:sz w:val="30"/>
          <w:szCs w:val="30"/>
        </w:rPr>
      </w:pPr>
      <w:bookmarkStart w:id="68" w:name="_Toc95983094"/>
      <w:bookmarkStart w:id="69" w:name="_Toc99549060"/>
      <w:r>
        <w:rPr>
          <w:rFonts w:hint="eastAsia" w:ascii="仿宋" w:hAnsi="仿宋" w:eastAsia="仿宋" w:cs="Times New Roman"/>
          <w:b/>
          <w:sz w:val="30"/>
          <w:szCs w:val="30"/>
        </w:rPr>
        <w:t>四、加强监管</w:t>
      </w:r>
      <w:bookmarkEnd w:id="68"/>
      <w:bookmarkEnd w:id="69"/>
    </w:p>
    <w:p>
      <w:pPr>
        <w:ind w:firstLine="555"/>
        <w:rPr>
          <w:rFonts w:ascii="仿宋" w:hAnsi="仿宋" w:eastAsia="仿宋" w:cs="Times New Roman"/>
          <w:bCs/>
          <w:sz w:val="28"/>
          <w:szCs w:val="28"/>
        </w:rPr>
      </w:pPr>
      <w:r>
        <w:rPr>
          <w:rFonts w:hint="eastAsia" w:ascii="仿宋" w:hAnsi="仿宋" w:eastAsia="仿宋" w:cs="Times New Roman"/>
          <w:bCs/>
          <w:sz w:val="28"/>
          <w:szCs w:val="28"/>
        </w:rPr>
        <w:t>强化管理是高标准农田建设各项目标任务实现和相关措施落实到位的重要保证。</w:t>
      </w:r>
    </w:p>
    <w:p>
      <w:pPr>
        <w:ind w:firstLine="555"/>
        <w:rPr>
          <w:rFonts w:ascii="仿宋" w:hAnsi="仿宋" w:eastAsia="仿宋" w:cs="Times New Roman"/>
          <w:bCs/>
          <w:sz w:val="28"/>
          <w:szCs w:val="28"/>
        </w:rPr>
      </w:pPr>
      <w:r>
        <w:rPr>
          <w:rFonts w:hint="eastAsia" w:ascii="仿宋" w:hAnsi="仿宋" w:eastAsia="仿宋" w:cs="Times New Roman"/>
          <w:bCs/>
          <w:sz w:val="28"/>
          <w:szCs w:val="28"/>
        </w:rPr>
        <w:t>一是要加强规划管理，在按照规划推进高标准农田建设的过程中要强化对具体项目的规划、设计的管理，确保规划设计合理，充分发挥项目资金的作用。</w:t>
      </w:r>
    </w:p>
    <w:p>
      <w:pPr>
        <w:ind w:firstLine="555"/>
        <w:rPr>
          <w:rFonts w:ascii="仿宋" w:hAnsi="仿宋" w:eastAsia="仿宋" w:cs="Times New Roman"/>
          <w:bCs/>
          <w:sz w:val="28"/>
          <w:szCs w:val="28"/>
        </w:rPr>
      </w:pPr>
      <w:r>
        <w:rPr>
          <w:rFonts w:hint="eastAsia" w:ascii="仿宋" w:hAnsi="仿宋" w:eastAsia="仿宋" w:cs="Times New Roman"/>
          <w:bCs/>
          <w:sz w:val="28"/>
          <w:szCs w:val="28"/>
        </w:rPr>
        <w:t>二是要加强对高标准农田建设项目的管理，全面推行项目法人责任制、招投标制、工程建设监理制、项目公示制、财政报账制等各项制度。</w:t>
      </w:r>
    </w:p>
    <w:p>
      <w:pPr>
        <w:ind w:firstLine="555"/>
        <w:rPr>
          <w:rFonts w:ascii="仿宋" w:hAnsi="仿宋" w:eastAsia="仿宋" w:cs="Times New Roman"/>
          <w:bCs/>
          <w:sz w:val="28"/>
          <w:szCs w:val="28"/>
        </w:rPr>
      </w:pPr>
      <w:r>
        <w:rPr>
          <w:rFonts w:hint="eastAsia" w:ascii="仿宋" w:hAnsi="仿宋" w:eastAsia="仿宋" w:cs="Times New Roman"/>
          <w:bCs/>
          <w:sz w:val="28"/>
          <w:szCs w:val="28"/>
        </w:rPr>
        <w:t>三是要完善项目建后管护机制，按照“建管结合、建管并重”的要求，落实高标准农田管护主体和责任，落实管护资金，健全管护制度。引导和激励专业大户、家庭农场、农民合作社、涉农企业等参与高标准农田设施的日常管护。切实采取有效措施落实维修养护经费，将高标准农田相关设施的日常管理与农村环境综合管理等有机结合起来，建立相关考评机制，为加强建后管护提供保障。将高标准农田建设情况纳入相关信息管理系统，实施信息化管理。加强对项目工程管护工作的督查、指导和监测评价，建立长效管护机制，探索管护模式，确保工程长久发挥效益。</w:t>
      </w:r>
    </w:p>
    <w:p>
      <w:pPr>
        <w:ind w:firstLine="555"/>
        <w:rPr>
          <w:rFonts w:ascii="仿宋" w:hAnsi="仿宋" w:eastAsia="仿宋" w:cs="Times New Roman"/>
          <w:bCs/>
          <w:sz w:val="28"/>
          <w:szCs w:val="28"/>
        </w:rPr>
      </w:pPr>
      <w:r>
        <w:rPr>
          <w:rFonts w:hint="eastAsia" w:ascii="仿宋" w:hAnsi="仿宋" w:eastAsia="仿宋" w:cs="Times New Roman"/>
          <w:bCs/>
          <w:sz w:val="28"/>
          <w:szCs w:val="28"/>
        </w:rPr>
        <w:t>四是加大考核力度。将高标准农田建设作为全县农业农村工作和对镇（街道）的重要考核内容，建立绩效考评制度，加大工作推进力度，并实行必要的激励机制。</w:t>
      </w:r>
    </w:p>
    <w:p>
      <w:pPr>
        <w:ind w:firstLine="555"/>
        <w:rPr>
          <w:rFonts w:ascii="仿宋" w:hAnsi="仿宋" w:eastAsia="仿宋" w:cs="Times New Roman"/>
          <w:bCs/>
          <w:sz w:val="28"/>
          <w:szCs w:val="28"/>
        </w:rPr>
      </w:pPr>
      <w:r>
        <w:rPr>
          <w:rFonts w:hint="eastAsia" w:ascii="仿宋" w:hAnsi="仿宋" w:eastAsia="仿宋" w:cs="Times New Roman"/>
          <w:bCs/>
          <w:sz w:val="28"/>
          <w:szCs w:val="28"/>
        </w:rPr>
        <w:t>五是落实“田长制”。责任到人、坚持严保严管、属地管理、协同联动、奖惩并举原则,压实各级党委和政府责任,建立一级抓一级、层层抓落实的机制,形成“横向到边、纵向到底、全覆盖、无缝隙”的监管网络,确保完成全县耕地与永久基本农田保护和稳定发展粮食生产责任目标。</w:t>
      </w:r>
    </w:p>
    <w:p>
      <w:pPr>
        <w:ind w:firstLine="555"/>
        <w:jc w:val="left"/>
        <w:rPr>
          <w:rFonts w:ascii="仿宋" w:hAnsi="仿宋" w:eastAsia="仿宋" w:cs="Times New Roman"/>
          <w:bCs/>
          <w:sz w:val="28"/>
          <w:szCs w:val="28"/>
        </w:rPr>
      </w:pPr>
      <w:r>
        <w:rPr>
          <w:rFonts w:ascii="仿宋" w:hAnsi="仿宋" w:eastAsia="仿宋" w:cs="Times New Roman"/>
          <w:bCs/>
          <w:sz w:val="28"/>
          <w:szCs w:val="28"/>
        </w:rPr>
        <w:br w:type="page"/>
      </w:r>
    </w:p>
    <w:p>
      <w:pPr>
        <w:rPr>
          <w:rFonts w:ascii="仿宋" w:hAnsi="仿宋" w:eastAsia="仿宋" w:cs="Times New Roman"/>
          <w:bCs/>
        </w:rPr>
        <w:sectPr>
          <w:pgSz w:w="11906" w:h="16838"/>
          <w:pgMar w:top="1440" w:right="1800" w:bottom="1440" w:left="1800" w:header="851" w:footer="992" w:gutter="0"/>
          <w:cols w:space="425" w:num="1"/>
          <w:docGrid w:type="lines" w:linePitch="312" w:charSpace="0"/>
        </w:sectPr>
      </w:pPr>
    </w:p>
    <w:p>
      <w:pPr>
        <w:keepNext/>
        <w:keepLines/>
        <w:tabs>
          <w:tab w:val="left" w:pos="2700"/>
        </w:tabs>
        <w:spacing w:before="340" w:after="330" w:line="578" w:lineRule="auto"/>
        <w:jc w:val="center"/>
        <w:outlineLvl w:val="0"/>
        <w:rPr>
          <w:rFonts w:ascii="仿宋" w:hAnsi="仿宋" w:eastAsia="仿宋" w:cs="Times New Roman"/>
          <w:b/>
          <w:kern w:val="44"/>
          <w:sz w:val="36"/>
          <w:szCs w:val="36"/>
        </w:rPr>
      </w:pPr>
      <w:bookmarkStart w:id="70" w:name="_Toc95983095"/>
      <w:bookmarkStart w:id="71" w:name="_Toc99549061"/>
      <w:r>
        <w:rPr>
          <w:rFonts w:hint="eastAsia" w:ascii="仿宋" w:hAnsi="仿宋" w:eastAsia="仿宋" w:cs="Times New Roman"/>
          <w:b/>
          <w:kern w:val="44"/>
          <w:sz w:val="36"/>
          <w:szCs w:val="36"/>
        </w:rPr>
        <w:t>附件</w:t>
      </w:r>
      <w:bookmarkEnd w:id="70"/>
      <w:bookmarkEnd w:id="71"/>
    </w:p>
    <w:p>
      <w:pPr>
        <w:rPr>
          <w:rFonts w:ascii="仿宋" w:hAnsi="仿宋" w:eastAsia="仿宋" w:cs="Times New Roman"/>
          <w:b/>
          <w:sz w:val="30"/>
          <w:szCs w:val="30"/>
        </w:rPr>
      </w:pPr>
      <w:r>
        <w:rPr>
          <w:rFonts w:hint="eastAsia" w:ascii="仿宋" w:hAnsi="仿宋" w:eastAsia="仿宋" w:cs="Times New Roman"/>
          <w:b/>
          <w:sz w:val="30"/>
          <w:szCs w:val="30"/>
        </w:rPr>
        <w:t>一、附表</w:t>
      </w:r>
    </w:p>
    <w:p>
      <w:pPr>
        <w:adjustRightInd w:val="0"/>
        <w:snapToGrid w:val="0"/>
        <w:spacing w:line="200" w:lineRule="atLeast"/>
        <w:jc w:val="center"/>
        <w:rPr>
          <w:rFonts w:ascii="仿宋" w:hAnsi="仿宋" w:eastAsia="仿宋" w:cs="Times New Roman"/>
          <w:bCs/>
          <w:sz w:val="28"/>
          <w:szCs w:val="28"/>
        </w:rPr>
      </w:pPr>
      <w:r>
        <w:rPr>
          <w:rFonts w:hint="eastAsia" w:ascii="仿宋" w:hAnsi="仿宋" w:eastAsia="仿宋" w:cs="Times New Roman"/>
          <w:bCs/>
          <w:sz w:val="28"/>
          <w:szCs w:val="28"/>
        </w:rPr>
        <w:t>1</w:t>
      </w:r>
      <w:r>
        <w:rPr>
          <w:rFonts w:ascii="仿宋" w:hAnsi="仿宋" w:eastAsia="仿宋" w:cs="Times New Roman"/>
          <w:bCs/>
          <w:sz w:val="28"/>
          <w:szCs w:val="28"/>
        </w:rPr>
        <w:t>.</w:t>
      </w:r>
      <w:r>
        <w:rPr>
          <w:rFonts w:hint="eastAsia" w:ascii="仿宋" w:hAnsi="仿宋" w:eastAsia="仿宋" w:cs="Times New Roman"/>
          <w:bCs/>
          <w:sz w:val="28"/>
          <w:szCs w:val="28"/>
        </w:rPr>
        <w:t>云和县高标准农田建设“十四五”规划指标表</w:t>
      </w:r>
    </w:p>
    <w:tbl>
      <w:tblPr>
        <w:tblStyle w:val="8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5581"/>
        <w:gridCol w:w="6038"/>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序号</w:t>
            </w:r>
          </w:p>
        </w:tc>
        <w:tc>
          <w:tcPr>
            <w:tcW w:w="20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指标</w:t>
            </w: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目标值</w:t>
            </w:r>
          </w:p>
        </w:tc>
        <w:tc>
          <w:tcPr>
            <w:tcW w:w="43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1</w:t>
            </w:r>
          </w:p>
        </w:tc>
        <w:tc>
          <w:tcPr>
            <w:tcW w:w="20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高标准农田保有量</w:t>
            </w: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8.16</w:t>
            </w:r>
            <w:r>
              <w:rPr>
                <w:rFonts w:hint="eastAsia" w:ascii="仿宋" w:hAnsi="仿宋" w:eastAsia="仿宋" w:cs="宋体"/>
                <w:bCs/>
                <w:color w:val="000000"/>
                <w:kern w:val="0"/>
                <w:sz w:val="22"/>
              </w:rPr>
              <w:t>万亩</w:t>
            </w:r>
          </w:p>
        </w:tc>
        <w:tc>
          <w:tcPr>
            <w:tcW w:w="43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w:t>
            </w:r>
          </w:p>
        </w:tc>
        <w:tc>
          <w:tcPr>
            <w:tcW w:w="20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新增已建高标准农田提质改造面积</w:t>
            </w: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0.73</w:t>
            </w:r>
            <w:r>
              <w:rPr>
                <w:rFonts w:hint="eastAsia" w:ascii="仿宋" w:hAnsi="仿宋" w:eastAsia="仿宋" w:cs="宋体"/>
                <w:bCs/>
                <w:color w:val="000000"/>
                <w:kern w:val="0"/>
                <w:sz w:val="22"/>
              </w:rPr>
              <w:t>万亩</w:t>
            </w:r>
          </w:p>
        </w:tc>
        <w:tc>
          <w:tcPr>
            <w:tcW w:w="43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3</w:t>
            </w:r>
          </w:p>
        </w:tc>
        <w:tc>
          <w:tcPr>
            <w:tcW w:w="20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新增绿色农田面积</w:t>
            </w: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0.21</w:t>
            </w:r>
            <w:r>
              <w:rPr>
                <w:rFonts w:hint="eastAsia" w:ascii="仿宋" w:hAnsi="仿宋" w:eastAsia="仿宋" w:cs="宋体"/>
                <w:bCs/>
                <w:color w:val="000000"/>
                <w:kern w:val="0"/>
                <w:sz w:val="22"/>
              </w:rPr>
              <w:t>万亩</w:t>
            </w:r>
          </w:p>
        </w:tc>
        <w:tc>
          <w:tcPr>
            <w:tcW w:w="43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4</w:t>
            </w:r>
          </w:p>
        </w:tc>
        <w:tc>
          <w:tcPr>
            <w:tcW w:w="20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新增宜机化改造面积</w:t>
            </w: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0.21</w:t>
            </w:r>
            <w:r>
              <w:rPr>
                <w:rFonts w:hint="eastAsia" w:ascii="仿宋" w:hAnsi="仿宋" w:eastAsia="仿宋" w:cs="宋体"/>
                <w:bCs/>
                <w:color w:val="000000"/>
                <w:kern w:val="0"/>
                <w:sz w:val="22"/>
              </w:rPr>
              <w:t>万亩</w:t>
            </w:r>
          </w:p>
        </w:tc>
        <w:tc>
          <w:tcPr>
            <w:tcW w:w="43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5</w:t>
            </w:r>
          </w:p>
        </w:tc>
        <w:tc>
          <w:tcPr>
            <w:tcW w:w="20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新增高效节水灌溉面积</w:t>
            </w: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w:t>
            </w:r>
            <w:r>
              <w:rPr>
                <w:rFonts w:ascii="仿宋" w:hAnsi="仿宋" w:eastAsia="仿宋" w:cs="宋体"/>
                <w:bCs/>
                <w:color w:val="000000"/>
                <w:kern w:val="0"/>
                <w:sz w:val="22"/>
              </w:rPr>
              <w:t>.04</w:t>
            </w:r>
            <w:r>
              <w:rPr>
                <w:rFonts w:hint="eastAsia" w:ascii="仿宋" w:hAnsi="仿宋" w:eastAsia="仿宋" w:cs="宋体"/>
                <w:bCs/>
                <w:color w:val="000000"/>
                <w:kern w:val="0"/>
                <w:sz w:val="22"/>
              </w:rPr>
              <w:t>万亩</w:t>
            </w:r>
          </w:p>
        </w:tc>
        <w:tc>
          <w:tcPr>
            <w:tcW w:w="43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Merge w:val="restar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6</w:t>
            </w:r>
          </w:p>
          <w:p>
            <w:pPr>
              <w:widowControl/>
              <w:jc w:val="center"/>
              <w:rPr>
                <w:rFonts w:ascii="仿宋" w:hAnsi="仿宋" w:eastAsia="仿宋" w:cs="宋体"/>
                <w:bCs/>
                <w:color w:val="000000"/>
                <w:kern w:val="0"/>
                <w:sz w:val="22"/>
              </w:rPr>
            </w:pPr>
          </w:p>
        </w:tc>
        <w:tc>
          <w:tcPr>
            <w:tcW w:w="2074"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新增粮食综合生产能力</w:t>
            </w: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新增高标准农田亩均产能提高100公斤以上</w:t>
            </w:r>
          </w:p>
        </w:tc>
        <w:tc>
          <w:tcPr>
            <w:tcW w:w="434"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8" w:type="pct"/>
            <w:vMerge w:val="continue"/>
            <w:vAlign w:val="center"/>
          </w:tcPr>
          <w:p>
            <w:pPr>
              <w:widowControl/>
              <w:jc w:val="left"/>
              <w:rPr>
                <w:rFonts w:ascii="仿宋" w:hAnsi="仿宋" w:eastAsia="仿宋" w:cs="宋体"/>
                <w:bCs/>
                <w:color w:val="000000"/>
                <w:kern w:val="0"/>
                <w:sz w:val="22"/>
              </w:rPr>
            </w:pPr>
          </w:p>
        </w:tc>
        <w:tc>
          <w:tcPr>
            <w:tcW w:w="2074" w:type="pct"/>
            <w:vMerge w:val="continue"/>
            <w:vAlign w:val="center"/>
          </w:tcPr>
          <w:p>
            <w:pPr>
              <w:widowControl/>
              <w:jc w:val="left"/>
              <w:rPr>
                <w:rFonts w:ascii="仿宋" w:hAnsi="仿宋" w:eastAsia="仿宋" w:cs="宋体"/>
                <w:bCs/>
                <w:color w:val="000000"/>
                <w:kern w:val="0"/>
                <w:sz w:val="22"/>
              </w:rPr>
            </w:pP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改造提升高标准农田产能不低于高标准农田产能的平均水平</w:t>
            </w:r>
          </w:p>
        </w:tc>
        <w:tc>
          <w:tcPr>
            <w:tcW w:w="434" w:type="pct"/>
            <w:vMerge w:val="continue"/>
            <w:vAlign w:val="center"/>
          </w:tcPr>
          <w:p>
            <w:pPr>
              <w:widowControl/>
              <w:jc w:val="left"/>
              <w:rPr>
                <w:rFonts w:ascii="仿宋" w:hAnsi="仿宋" w:eastAsia="仿宋" w:cs="宋体"/>
                <w:bCs/>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7</w:t>
            </w:r>
          </w:p>
        </w:tc>
        <w:tc>
          <w:tcPr>
            <w:tcW w:w="20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抗御自然灾害能力</w:t>
            </w: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平均降低粮食水灾旱灾损失率12.5%</w:t>
            </w:r>
          </w:p>
        </w:tc>
        <w:tc>
          <w:tcPr>
            <w:tcW w:w="43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8</w:t>
            </w:r>
          </w:p>
        </w:tc>
        <w:tc>
          <w:tcPr>
            <w:tcW w:w="20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建成高标准农田上图入库覆盖率</w:t>
            </w: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实现100%全覆盖</w:t>
            </w:r>
          </w:p>
        </w:tc>
        <w:tc>
          <w:tcPr>
            <w:tcW w:w="43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9</w:t>
            </w:r>
          </w:p>
        </w:tc>
        <w:tc>
          <w:tcPr>
            <w:tcW w:w="20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永久基本农田中高标准农田的比例</w:t>
            </w: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Cs w:val="21"/>
              </w:rPr>
              <w:t>48.14</w:t>
            </w:r>
            <w:r>
              <w:rPr>
                <w:rFonts w:hint="eastAsia" w:ascii="仿宋" w:hAnsi="仿宋" w:eastAsia="仿宋" w:cs="宋体"/>
                <w:bCs/>
                <w:color w:val="000000"/>
                <w:kern w:val="0"/>
                <w:szCs w:val="21"/>
              </w:rPr>
              <w:t>%</w:t>
            </w:r>
          </w:p>
        </w:tc>
        <w:tc>
          <w:tcPr>
            <w:tcW w:w="43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10</w:t>
            </w:r>
          </w:p>
        </w:tc>
        <w:tc>
          <w:tcPr>
            <w:tcW w:w="207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粮食生产功能区中高标准农田的比例</w:t>
            </w:r>
          </w:p>
        </w:tc>
        <w:tc>
          <w:tcPr>
            <w:tcW w:w="2244"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Cs w:val="21"/>
              </w:rPr>
              <w:t>7</w:t>
            </w:r>
            <w:r>
              <w:rPr>
                <w:rFonts w:hint="eastAsia" w:ascii="仿宋" w:hAnsi="仿宋" w:eastAsia="仿宋" w:cs="宋体"/>
                <w:bCs/>
                <w:color w:val="000000"/>
                <w:kern w:val="0"/>
                <w:szCs w:val="21"/>
              </w:rPr>
              <w:t>6.</w:t>
            </w:r>
            <w:r>
              <w:rPr>
                <w:rFonts w:ascii="仿宋" w:hAnsi="仿宋" w:eastAsia="仿宋" w:cs="宋体"/>
                <w:bCs/>
                <w:color w:val="000000"/>
                <w:kern w:val="0"/>
                <w:szCs w:val="21"/>
              </w:rPr>
              <w:t>06</w:t>
            </w:r>
            <w:r>
              <w:rPr>
                <w:rFonts w:hint="eastAsia" w:ascii="仿宋" w:hAnsi="仿宋" w:eastAsia="仿宋" w:cs="宋体"/>
                <w:bCs/>
                <w:color w:val="000000"/>
                <w:kern w:val="0"/>
                <w:szCs w:val="21"/>
              </w:rPr>
              <w:t>%</w:t>
            </w:r>
          </w:p>
        </w:tc>
        <w:tc>
          <w:tcPr>
            <w:tcW w:w="434"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预期性</w:t>
            </w:r>
          </w:p>
        </w:tc>
      </w:tr>
    </w:tbl>
    <w:p>
      <w:pPr>
        <w:jc w:val="center"/>
        <w:rPr>
          <w:rFonts w:ascii="仿宋" w:hAnsi="仿宋" w:eastAsia="仿宋" w:cs="Times New Roman"/>
          <w:bCs/>
          <w:sz w:val="28"/>
          <w:szCs w:val="28"/>
        </w:rPr>
      </w:pPr>
    </w:p>
    <w:p>
      <w:pPr>
        <w:jc w:val="center"/>
        <w:rPr>
          <w:rFonts w:ascii="仿宋" w:hAnsi="仿宋" w:eastAsia="仿宋" w:cs="Times New Roman"/>
          <w:bCs/>
          <w:sz w:val="28"/>
          <w:szCs w:val="28"/>
        </w:rPr>
      </w:pPr>
    </w:p>
    <w:p>
      <w:pPr>
        <w:widowControl/>
        <w:jc w:val="left"/>
        <w:rPr>
          <w:rFonts w:ascii="仿宋" w:hAnsi="仿宋" w:eastAsia="仿宋" w:cs="Times New Roman"/>
          <w:bCs/>
          <w:sz w:val="28"/>
          <w:szCs w:val="28"/>
        </w:rPr>
      </w:pPr>
      <w:r>
        <w:rPr>
          <w:rFonts w:ascii="仿宋" w:hAnsi="仿宋" w:eastAsia="仿宋" w:cs="Times New Roman"/>
          <w:bCs/>
          <w:sz w:val="28"/>
          <w:szCs w:val="28"/>
        </w:rPr>
        <w:br w:type="page"/>
      </w:r>
    </w:p>
    <w:p>
      <w:pPr>
        <w:adjustRightInd w:val="0"/>
        <w:snapToGrid w:val="0"/>
        <w:spacing w:line="200" w:lineRule="atLeast"/>
        <w:jc w:val="center"/>
        <w:rPr>
          <w:rFonts w:ascii="仿宋" w:hAnsi="仿宋" w:eastAsia="仿宋" w:cs="Times New Roman"/>
          <w:bCs/>
          <w:sz w:val="28"/>
          <w:szCs w:val="28"/>
        </w:rPr>
      </w:pPr>
      <w:r>
        <w:rPr>
          <w:rFonts w:ascii="仿宋" w:hAnsi="仿宋" w:eastAsia="仿宋" w:cs="Times New Roman"/>
          <w:bCs/>
          <w:sz w:val="28"/>
          <w:szCs w:val="28"/>
        </w:rPr>
        <w:t>2.</w:t>
      </w:r>
      <w:r>
        <w:rPr>
          <w:rFonts w:hint="eastAsia" w:ascii="仿宋" w:hAnsi="仿宋" w:eastAsia="仿宋" w:cs="Times New Roman"/>
          <w:bCs/>
          <w:sz w:val="28"/>
          <w:szCs w:val="28"/>
        </w:rPr>
        <w:t>云和县高标准农田建设“十四五”规划提质改造可实现潜力表</w:t>
      </w:r>
    </w:p>
    <w:p>
      <w:pPr>
        <w:ind w:firstLine="555"/>
        <w:jc w:val="right"/>
        <w:rPr>
          <w:rFonts w:ascii="仿宋" w:hAnsi="仿宋" w:eastAsia="仿宋" w:cs="Times New Roman"/>
          <w:bCs/>
          <w:sz w:val="24"/>
          <w:szCs w:val="28"/>
        </w:rPr>
      </w:pPr>
      <w:r>
        <w:rPr>
          <w:rFonts w:hint="eastAsia" w:ascii="仿宋" w:hAnsi="仿宋" w:eastAsia="仿宋" w:cs="Times New Roman"/>
          <w:bCs/>
          <w:sz w:val="24"/>
          <w:szCs w:val="28"/>
        </w:rPr>
        <w:t>单位：亩</w:t>
      </w:r>
    </w:p>
    <w:tbl>
      <w:tblPr>
        <w:tblStyle w:val="8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1636"/>
        <w:gridCol w:w="1682"/>
        <w:gridCol w:w="1682"/>
        <w:gridCol w:w="1682"/>
        <w:gridCol w:w="1682"/>
        <w:gridCol w:w="1684"/>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gridSpan w:val="2"/>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行政区</w:t>
            </w:r>
          </w:p>
        </w:tc>
        <w:tc>
          <w:tcPr>
            <w:tcW w:w="3126" w:type="pct"/>
            <w:gridSpan w:val="5"/>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实施年份</w:t>
            </w:r>
          </w:p>
        </w:tc>
        <w:tc>
          <w:tcPr>
            <w:tcW w:w="625"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gridSpan w:val="2"/>
            <w:vMerge w:val="continue"/>
            <w:vAlign w:val="center"/>
          </w:tcPr>
          <w:p>
            <w:pPr>
              <w:widowControl/>
              <w:jc w:val="left"/>
              <w:rPr>
                <w:rFonts w:ascii="仿宋" w:hAnsi="仿宋" w:eastAsia="仿宋" w:cs="宋体"/>
                <w:bCs/>
                <w:color w:val="000000"/>
                <w:kern w:val="0"/>
                <w:sz w:val="22"/>
              </w:rPr>
            </w:pP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2021</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2022</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2023</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2024</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2025</w:t>
            </w:r>
          </w:p>
        </w:tc>
        <w:tc>
          <w:tcPr>
            <w:tcW w:w="625" w:type="pct"/>
            <w:vMerge w:val="continue"/>
            <w:vAlign w:val="center"/>
          </w:tcPr>
          <w:p>
            <w:pPr>
              <w:widowControl/>
              <w:jc w:val="left"/>
              <w:rPr>
                <w:rFonts w:ascii="仿宋" w:hAnsi="仿宋" w:eastAsia="仿宋" w:cs="宋体"/>
                <w:bCs/>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安溪畲族乡</w:t>
            </w: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安溪村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1003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白龙山街道</w:t>
            </w: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高胥村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158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continue"/>
            <w:vAlign w:val="center"/>
          </w:tcPr>
          <w:p>
            <w:pPr>
              <w:widowControl/>
              <w:jc w:val="left"/>
              <w:rPr>
                <w:rFonts w:ascii="仿宋" w:hAnsi="仿宋" w:eastAsia="仿宋" w:cs="宋体"/>
                <w:bCs/>
                <w:color w:val="000000"/>
                <w:kern w:val="0"/>
                <w:sz w:val="22"/>
              </w:rPr>
            </w:pP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泓新村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253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w:t>
            </w: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大湾村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1666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1666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continue"/>
            <w:vAlign w:val="center"/>
          </w:tcPr>
          <w:p>
            <w:pPr>
              <w:widowControl/>
              <w:jc w:val="left"/>
              <w:rPr>
                <w:rFonts w:ascii="仿宋" w:hAnsi="仿宋" w:eastAsia="仿宋" w:cs="宋体"/>
                <w:bCs/>
                <w:color w:val="000000"/>
                <w:kern w:val="0"/>
                <w:sz w:val="22"/>
              </w:rPr>
            </w:pP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后垟村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239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continue"/>
            <w:vAlign w:val="center"/>
          </w:tcPr>
          <w:p>
            <w:pPr>
              <w:widowControl/>
              <w:jc w:val="left"/>
              <w:rPr>
                <w:rFonts w:ascii="仿宋" w:hAnsi="仿宋" w:eastAsia="仿宋" w:cs="宋体"/>
                <w:bCs/>
                <w:color w:val="000000"/>
                <w:kern w:val="0"/>
                <w:sz w:val="22"/>
              </w:rPr>
            </w:pP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栗溪村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180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continue"/>
            <w:vAlign w:val="center"/>
          </w:tcPr>
          <w:p>
            <w:pPr>
              <w:widowControl/>
              <w:jc w:val="left"/>
              <w:rPr>
                <w:rFonts w:ascii="仿宋" w:hAnsi="仿宋" w:eastAsia="仿宋" w:cs="宋体"/>
                <w:bCs/>
                <w:color w:val="000000"/>
                <w:kern w:val="0"/>
                <w:sz w:val="22"/>
              </w:rPr>
            </w:pP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梅源村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154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continue"/>
            <w:vAlign w:val="center"/>
          </w:tcPr>
          <w:p>
            <w:pPr>
              <w:widowControl/>
              <w:jc w:val="left"/>
              <w:rPr>
                <w:rFonts w:ascii="仿宋" w:hAnsi="仿宋" w:eastAsia="仿宋" w:cs="宋体"/>
                <w:bCs/>
                <w:color w:val="000000"/>
                <w:kern w:val="0"/>
                <w:sz w:val="22"/>
              </w:rPr>
            </w:pP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王荫山村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81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紧水滩镇</w:t>
            </w: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大源村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344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344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continue"/>
            <w:vAlign w:val="center"/>
          </w:tcPr>
          <w:p>
            <w:pPr>
              <w:widowControl/>
              <w:jc w:val="left"/>
              <w:rPr>
                <w:rFonts w:ascii="仿宋" w:hAnsi="仿宋" w:eastAsia="仿宋" w:cs="宋体"/>
                <w:bCs/>
                <w:color w:val="000000"/>
                <w:kern w:val="0"/>
                <w:sz w:val="22"/>
              </w:rPr>
            </w:pP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金水坑村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237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continue"/>
            <w:vAlign w:val="center"/>
          </w:tcPr>
          <w:p>
            <w:pPr>
              <w:widowControl/>
              <w:jc w:val="left"/>
              <w:rPr>
                <w:rFonts w:ascii="仿宋" w:hAnsi="仿宋" w:eastAsia="仿宋" w:cs="宋体"/>
                <w:bCs/>
                <w:color w:val="000000"/>
                <w:kern w:val="0"/>
                <w:sz w:val="22"/>
              </w:rPr>
            </w:pP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龙门村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540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continue"/>
            <w:vAlign w:val="center"/>
          </w:tcPr>
          <w:p>
            <w:pPr>
              <w:widowControl/>
              <w:jc w:val="left"/>
              <w:rPr>
                <w:rFonts w:ascii="仿宋" w:hAnsi="仿宋" w:eastAsia="仿宋" w:cs="宋体"/>
                <w:bCs/>
                <w:color w:val="000000"/>
                <w:kern w:val="0"/>
                <w:sz w:val="22"/>
              </w:rPr>
            </w:pP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石浦村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640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w:t>
            </w: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联合村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412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continue"/>
            <w:vAlign w:val="center"/>
          </w:tcPr>
          <w:p>
            <w:pPr>
              <w:widowControl/>
              <w:jc w:val="left"/>
              <w:rPr>
                <w:rFonts w:ascii="仿宋" w:hAnsi="仿宋" w:eastAsia="仿宋" w:cs="宋体"/>
                <w:bCs/>
                <w:color w:val="000000"/>
                <w:kern w:val="0"/>
                <w:sz w:val="22"/>
              </w:rPr>
            </w:pP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龙河村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688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vMerge w:val="continue"/>
            <w:vAlign w:val="center"/>
          </w:tcPr>
          <w:p>
            <w:pPr>
              <w:widowControl/>
              <w:jc w:val="left"/>
              <w:rPr>
                <w:rFonts w:ascii="仿宋" w:hAnsi="仿宋" w:eastAsia="仿宋" w:cs="宋体"/>
                <w:bCs/>
                <w:color w:val="000000"/>
                <w:kern w:val="0"/>
                <w:sz w:val="22"/>
              </w:rPr>
            </w:pP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朱村村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43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1"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元和街道</w:t>
            </w:r>
          </w:p>
        </w:tc>
        <w:tc>
          <w:tcPr>
            <w:tcW w:w="60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梅湾村</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620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49" w:type="pct"/>
            <w:gridSpan w:val="2"/>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344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1734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2000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2037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1143 </w:t>
            </w:r>
          </w:p>
        </w:tc>
        <w:tc>
          <w:tcPr>
            <w:tcW w:w="62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7259 </w:t>
            </w:r>
          </w:p>
        </w:tc>
      </w:tr>
    </w:tbl>
    <w:p>
      <w:pPr>
        <w:jc w:val="center"/>
        <w:rPr>
          <w:rFonts w:ascii="仿宋" w:hAnsi="仿宋" w:eastAsia="仿宋" w:cs="Times New Roman"/>
          <w:bCs/>
          <w:sz w:val="28"/>
          <w:szCs w:val="28"/>
        </w:rPr>
      </w:pPr>
    </w:p>
    <w:p>
      <w:pPr>
        <w:widowControl/>
        <w:jc w:val="left"/>
        <w:rPr>
          <w:rFonts w:ascii="仿宋" w:hAnsi="仿宋" w:eastAsia="仿宋" w:cs="Times New Roman"/>
          <w:bCs/>
          <w:sz w:val="28"/>
          <w:szCs w:val="28"/>
        </w:rPr>
      </w:pPr>
      <w:r>
        <w:rPr>
          <w:rFonts w:ascii="仿宋" w:hAnsi="仿宋" w:eastAsia="仿宋" w:cs="Times New Roman"/>
          <w:bCs/>
          <w:sz w:val="28"/>
          <w:szCs w:val="28"/>
        </w:rPr>
        <w:br w:type="page"/>
      </w:r>
    </w:p>
    <w:p>
      <w:pPr>
        <w:adjustRightInd w:val="0"/>
        <w:snapToGrid w:val="0"/>
        <w:spacing w:line="200" w:lineRule="atLeast"/>
        <w:jc w:val="center"/>
        <w:rPr>
          <w:rFonts w:ascii="仿宋" w:hAnsi="仿宋" w:eastAsia="仿宋" w:cs="Times New Roman"/>
          <w:bCs/>
          <w:sz w:val="28"/>
          <w:szCs w:val="28"/>
        </w:rPr>
      </w:pPr>
      <w:r>
        <w:rPr>
          <w:rFonts w:ascii="仿宋" w:hAnsi="仿宋" w:eastAsia="仿宋" w:cs="Times New Roman"/>
          <w:bCs/>
          <w:sz w:val="28"/>
          <w:szCs w:val="28"/>
        </w:rPr>
        <w:t>3.</w:t>
      </w:r>
      <w:r>
        <w:rPr>
          <w:rFonts w:hint="eastAsia" w:ascii="仿宋" w:hAnsi="仿宋" w:eastAsia="仿宋" w:cs="Times New Roman"/>
          <w:bCs/>
          <w:sz w:val="28"/>
          <w:szCs w:val="28"/>
        </w:rPr>
        <w:t>云和县高标准农田建设“十四五”规划绿色农田建设可实现潜力表</w:t>
      </w:r>
    </w:p>
    <w:p>
      <w:pPr>
        <w:adjustRightInd w:val="0"/>
        <w:snapToGrid w:val="0"/>
        <w:spacing w:line="200" w:lineRule="atLeast"/>
        <w:ind w:firstLine="555"/>
        <w:jc w:val="right"/>
        <w:rPr>
          <w:rFonts w:ascii="仿宋" w:hAnsi="仿宋" w:eastAsia="仿宋" w:cs="Times New Roman"/>
          <w:bCs/>
          <w:sz w:val="24"/>
          <w:szCs w:val="28"/>
        </w:rPr>
      </w:pPr>
      <w:r>
        <w:rPr>
          <w:rFonts w:hint="eastAsia" w:ascii="仿宋" w:hAnsi="仿宋" w:eastAsia="仿宋" w:cs="Times New Roman"/>
          <w:bCs/>
          <w:sz w:val="24"/>
          <w:szCs w:val="28"/>
        </w:rPr>
        <w:t>单位：亩</w:t>
      </w:r>
    </w:p>
    <w:tbl>
      <w:tblPr>
        <w:tblStyle w:val="85"/>
        <w:tblW w:w="5000" w:type="pct"/>
        <w:tblInd w:w="0" w:type="dxa"/>
        <w:tblLayout w:type="autofit"/>
        <w:tblCellMar>
          <w:top w:w="0" w:type="dxa"/>
          <w:left w:w="108" w:type="dxa"/>
          <w:bottom w:w="0" w:type="dxa"/>
          <w:right w:w="108" w:type="dxa"/>
        </w:tblCellMar>
      </w:tblPr>
      <w:tblGrid>
        <w:gridCol w:w="2634"/>
        <w:gridCol w:w="2637"/>
        <w:gridCol w:w="3304"/>
        <w:gridCol w:w="3041"/>
        <w:gridCol w:w="1838"/>
      </w:tblGrid>
      <w:tr>
        <w:tblPrEx>
          <w:tblCellMar>
            <w:top w:w="0" w:type="dxa"/>
            <w:left w:w="108" w:type="dxa"/>
            <w:bottom w:w="0" w:type="dxa"/>
            <w:right w:w="108" w:type="dxa"/>
          </w:tblCellMar>
        </w:tblPrEx>
        <w:trPr>
          <w:trHeight w:val="285" w:hRule="atLeast"/>
        </w:trPr>
        <w:tc>
          <w:tcPr>
            <w:tcW w:w="1959"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行政区</w:t>
            </w:r>
          </w:p>
        </w:tc>
        <w:tc>
          <w:tcPr>
            <w:tcW w:w="2358" w:type="pct"/>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实施年份</w:t>
            </w:r>
          </w:p>
        </w:tc>
        <w:tc>
          <w:tcPr>
            <w:tcW w:w="68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合计</w:t>
            </w:r>
          </w:p>
        </w:tc>
      </w:tr>
      <w:tr>
        <w:tblPrEx>
          <w:tblCellMar>
            <w:top w:w="0" w:type="dxa"/>
            <w:left w:w="108" w:type="dxa"/>
            <w:bottom w:w="0" w:type="dxa"/>
            <w:right w:w="108" w:type="dxa"/>
          </w:tblCellMar>
        </w:tblPrEx>
        <w:trPr>
          <w:trHeight w:val="285" w:hRule="atLeast"/>
        </w:trPr>
        <w:tc>
          <w:tcPr>
            <w:tcW w:w="1959"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atLeast"/>
              <w:jc w:val="left"/>
              <w:rPr>
                <w:rFonts w:ascii="仿宋" w:hAnsi="仿宋" w:eastAsia="仿宋" w:cs="宋体"/>
                <w:bCs/>
                <w:color w:val="000000"/>
                <w:kern w:val="0"/>
                <w:sz w:val="22"/>
              </w:rPr>
            </w:pPr>
          </w:p>
        </w:tc>
        <w:tc>
          <w:tcPr>
            <w:tcW w:w="1228"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2024</w:t>
            </w:r>
          </w:p>
        </w:tc>
        <w:tc>
          <w:tcPr>
            <w:tcW w:w="1130"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2025</w:t>
            </w:r>
          </w:p>
        </w:tc>
        <w:tc>
          <w:tcPr>
            <w:tcW w:w="68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00" w:lineRule="atLeast"/>
              <w:jc w:val="left"/>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285" w:hRule="atLeast"/>
        </w:trPr>
        <w:tc>
          <w:tcPr>
            <w:tcW w:w="979" w:type="pct"/>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w:t>
            </w:r>
          </w:p>
        </w:tc>
        <w:tc>
          <w:tcPr>
            <w:tcW w:w="980"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梅源村</w:t>
            </w:r>
          </w:p>
        </w:tc>
        <w:tc>
          <w:tcPr>
            <w:tcW w:w="1228"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1083 </w:t>
            </w:r>
          </w:p>
        </w:tc>
        <w:tc>
          <w:tcPr>
            <w:tcW w:w="1130"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83"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1083 </w:t>
            </w:r>
          </w:p>
        </w:tc>
      </w:tr>
      <w:tr>
        <w:tblPrEx>
          <w:tblCellMar>
            <w:top w:w="0" w:type="dxa"/>
            <w:left w:w="108" w:type="dxa"/>
            <w:bottom w:w="0" w:type="dxa"/>
            <w:right w:w="108" w:type="dxa"/>
          </w:tblCellMar>
        </w:tblPrEx>
        <w:trPr>
          <w:trHeight w:val="285" w:hRule="atLeast"/>
        </w:trPr>
        <w:tc>
          <w:tcPr>
            <w:tcW w:w="979" w:type="pct"/>
            <w:tcBorders>
              <w:top w:val="nil"/>
              <w:left w:val="single" w:color="auto" w:sz="4" w:space="0"/>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w:t>
            </w:r>
          </w:p>
        </w:tc>
        <w:tc>
          <w:tcPr>
            <w:tcW w:w="980"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规溪村</w:t>
            </w:r>
          </w:p>
        </w:tc>
        <w:tc>
          <w:tcPr>
            <w:tcW w:w="1228"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1130"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980 </w:t>
            </w:r>
          </w:p>
        </w:tc>
        <w:tc>
          <w:tcPr>
            <w:tcW w:w="683"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980 </w:t>
            </w:r>
          </w:p>
        </w:tc>
      </w:tr>
      <w:tr>
        <w:tblPrEx>
          <w:tblCellMar>
            <w:top w:w="0" w:type="dxa"/>
            <w:left w:w="108" w:type="dxa"/>
            <w:bottom w:w="0" w:type="dxa"/>
            <w:right w:w="108" w:type="dxa"/>
          </w:tblCellMar>
        </w:tblPrEx>
        <w:trPr>
          <w:trHeight w:val="285" w:hRule="atLeast"/>
        </w:trPr>
        <w:tc>
          <w:tcPr>
            <w:tcW w:w="1959"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1228"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1083 </w:t>
            </w:r>
          </w:p>
        </w:tc>
        <w:tc>
          <w:tcPr>
            <w:tcW w:w="1130"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980 </w:t>
            </w:r>
          </w:p>
        </w:tc>
        <w:tc>
          <w:tcPr>
            <w:tcW w:w="683" w:type="pct"/>
            <w:tcBorders>
              <w:top w:val="nil"/>
              <w:left w:val="nil"/>
              <w:bottom w:val="single" w:color="auto" w:sz="4" w:space="0"/>
              <w:right w:val="single" w:color="auto" w:sz="4"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2063 </w:t>
            </w:r>
          </w:p>
        </w:tc>
      </w:tr>
    </w:tbl>
    <w:p>
      <w:pPr>
        <w:adjustRightInd w:val="0"/>
        <w:snapToGrid w:val="0"/>
        <w:spacing w:line="200" w:lineRule="atLeast"/>
        <w:jc w:val="center"/>
        <w:rPr>
          <w:rFonts w:ascii="仿宋" w:hAnsi="仿宋" w:eastAsia="仿宋" w:cs="Times New Roman"/>
          <w:bCs/>
          <w:sz w:val="28"/>
          <w:szCs w:val="28"/>
        </w:rPr>
      </w:pPr>
    </w:p>
    <w:p>
      <w:pPr>
        <w:adjustRightInd w:val="0"/>
        <w:snapToGrid w:val="0"/>
        <w:spacing w:line="200" w:lineRule="atLeast"/>
        <w:jc w:val="center"/>
        <w:rPr>
          <w:rFonts w:ascii="仿宋" w:hAnsi="仿宋" w:eastAsia="仿宋" w:cs="Times New Roman"/>
          <w:bCs/>
          <w:sz w:val="28"/>
          <w:szCs w:val="28"/>
        </w:rPr>
      </w:pPr>
    </w:p>
    <w:p>
      <w:pPr>
        <w:adjustRightInd w:val="0"/>
        <w:snapToGrid w:val="0"/>
        <w:spacing w:line="200" w:lineRule="atLeast"/>
        <w:jc w:val="center"/>
        <w:rPr>
          <w:rFonts w:ascii="仿宋" w:hAnsi="仿宋" w:eastAsia="仿宋" w:cs="Times New Roman"/>
          <w:bCs/>
          <w:sz w:val="28"/>
          <w:szCs w:val="28"/>
        </w:rPr>
      </w:pPr>
    </w:p>
    <w:p>
      <w:pPr>
        <w:adjustRightInd w:val="0"/>
        <w:snapToGrid w:val="0"/>
        <w:spacing w:line="200" w:lineRule="atLeast"/>
        <w:jc w:val="center"/>
        <w:rPr>
          <w:rFonts w:ascii="仿宋" w:hAnsi="仿宋" w:eastAsia="仿宋" w:cs="Times New Roman"/>
          <w:bCs/>
          <w:sz w:val="28"/>
          <w:szCs w:val="28"/>
        </w:rPr>
      </w:pPr>
      <w:r>
        <w:rPr>
          <w:rFonts w:ascii="仿宋" w:hAnsi="仿宋" w:eastAsia="仿宋" w:cs="Times New Roman"/>
          <w:bCs/>
          <w:sz w:val="28"/>
          <w:szCs w:val="28"/>
        </w:rPr>
        <w:t>4.</w:t>
      </w:r>
      <w:r>
        <w:rPr>
          <w:rFonts w:hint="eastAsia" w:ascii="仿宋" w:hAnsi="仿宋" w:eastAsia="仿宋" w:cs="Times New Roman"/>
          <w:bCs/>
          <w:sz w:val="28"/>
          <w:szCs w:val="28"/>
        </w:rPr>
        <w:t>云和县高标准农田建设“十四五”规划宜机化改造建设可实现潜力表</w:t>
      </w:r>
    </w:p>
    <w:p>
      <w:pPr>
        <w:adjustRightInd w:val="0"/>
        <w:snapToGrid w:val="0"/>
        <w:spacing w:line="200" w:lineRule="atLeast"/>
        <w:ind w:left="1440"/>
        <w:jc w:val="right"/>
        <w:rPr>
          <w:rFonts w:ascii="仿宋" w:hAnsi="仿宋" w:eastAsia="仿宋" w:cs="Times New Roman"/>
          <w:bCs/>
          <w:sz w:val="24"/>
          <w:szCs w:val="28"/>
        </w:rPr>
      </w:pPr>
      <w:r>
        <w:rPr>
          <w:rFonts w:hint="eastAsia" w:ascii="仿宋" w:hAnsi="仿宋" w:eastAsia="仿宋" w:cs="Times New Roman"/>
          <w:bCs/>
          <w:sz w:val="24"/>
          <w:szCs w:val="28"/>
        </w:rPr>
        <w:t>单位：亩</w:t>
      </w:r>
    </w:p>
    <w:tbl>
      <w:tblPr>
        <w:tblStyle w:val="8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8"/>
        <w:gridCol w:w="1668"/>
        <w:gridCol w:w="1811"/>
        <w:gridCol w:w="1811"/>
        <w:gridCol w:w="1811"/>
        <w:gridCol w:w="1814"/>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34" w:type="pct"/>
            <w:gridSpan w:val="2"/>
            <w:vMerge w:val="restar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行政区</w:t>
            </w:r>
          </w:p>
        </w:tc>
        <w:tc>
          <w:tcPr>
            <w:tcW w:w="2693" w:type="pct"/>
            <w:gridSpan w:val="4"/>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近期实施年份</w:t>
            </w:r>
          </w:p>
        </w:tc>
        <w:tc>
          <w:tcPr>
            <w:tcW w:w="673" w:type="pct"/>
            <w:vMerge w:val="restar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34" w:type="pct"/>
            <w:gridSpan w:val="2"/>
            <w:vMerge w:val="continue"/>
            <w:vAlign w:val="center"/>
          </w:tcPr>
          <w:p>
            <w:pPr>
              <w:widowControl/>
              <w:spacing w:line="200" w:lineRule="atLeast"/>
              <w:jc w:val="left"/>
              <w:rPr>
                <w:rFonts w:ascii="仿宋" w:hAnsi="仿宋" w:eastAsia="仿宋" w:cs="宋体"/>
                <w:bCs/>
                <w:color w:val="000000"/>
                <w:kern w:val="0"/>
                <w:sz w:val="22"/>
              </w:rPr>
            </w:pP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2022</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2023</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2024</w:t>
            </w:r>
          </w:p>
        </w:tc>
        <w:tc>
          <w:tcPr>
            <w:tcW w:w="674"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2025</w:t>
            </w:r>
          </w:p>
        </w:tc>
        <w:tc>
          <w:tcPr>
            <w:tcW w:w="673" w:type="pct"/>
            <w:vMerge w:val="continue"/>
            <w:vAlign w:val="center"/>
          </w:tcPr>
          <w:p>
            <w:pPr>
              <w:widowControl/>
              <w:spacing w:line="200" w:lineRule="atLeast"/>
              <w:jc w:val="left"/>
              <w:rPr>
                <w:rFonts w:ascii="仿宋" w:hAnsi="仿宋" w:eastAsia="仿宋" w:cs="宋体"/>
                <w:bCs/>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4" w:type="pct"/>
            <w:vMerge w:val="restar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w:t>
            </w:r>
          </w:p>
        </w:tc>
        <w:tc>
          <w:tcPr>
            <w:tcW w:w="619"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崇头村</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717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4"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4" w:type="pct"/>
            <w:vMerge w:val="continue"/>
            <w:vAlign w:val="center"/>
          </w:tcPr>
          <w:p>
            <w:pPr>
              <w:widowControl/>
              <w:spacing w:line="200" w:lineRule="atLeast"/>
              <w:jc w:val="left"/>
              <w:rPr>
                <w:rFonts w:ascii="仿宋" w:hAnsi="仿宋" w:eastAsia="仿宋" w:cs="宋体"/>
                <w:bCs/>
                <w:color w:val="000000"/>
                <w:kern w:val="0"/>
                <w:sz w:val="22"/>
              </w:rPr>
            </w:pPr>
          </w:p>
        </w:tc>
        <w:tc>
          <w:tcPr>
            <w:tcW w:w="619"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梅源村</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4"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477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14"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凤凰山街道</w:t>
            </w:r>
          </w:p>
        </w:tc>
        <w:tc>
          <w:tcPr>
            <w:tcW w:w="619"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贵溪村</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735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4"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1014"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w:t>
            </w:r>
          </w:p>
        </w:tc>
        <w:tc>
          <w:tcPr>
            <w:tcW w:w="619"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规溪村</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ascii="仿宋" w:hAnsi="仿宋" w:eastAsia="仿宋" w:cs="宋体"/>
                <w:bCs/>
                <w:color w:val="000000"/>
                <w:kern w:val="0"/>
                <w:sz w:val="22"/>
              </w:rPr>
              <w:t>150</w:t>
            </w:r>
            <w:r>
              <w:rPr>
                <w:rFonts w:hint="eastAsia" w:ascii="仿宋" w:hAnsi="仿宋" w:eastAsia="仿宋" w:cs="宋体"/>
                <w:bCs/>
                <w:color w:val="000000"/>
                <w:kern w:val="0"/>
                <w:sz w:val="22"/>
              </w:rPr>
              <w:t xml:space="preserve"> </w:t>
            </w:r>
          </w:p>
        </w:tc>
        <w:tc>
          <w:tcPr>
            <w:tcW w:w="674"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ascii="仿宋" w:hAnsi="仿宋" w:eastAsia="仿宋" w:cs="宋体"/>
                <w:bCs/>
                <w:color w:val="000000"/>
                <w:kern w:val="0"/>
                <w:sz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634" w:type="pct"/>
            <w:gridSpan w:val="2"/>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735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717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ascii="仿宋" w:hAnsi="仿宋" w:eastAsia="仿宋" w:cs="宋体"/>
                <w:bCs/>
                <w:color w:val="000000"/>
                <w:kern w:val="0"/>
                <w:sz w:val="22"/>
              </w:rPr>
              <w:t>150</w:t>
            </w:r>
          </w:p>
        </w:tc>
        <w:tc>
          <w:tcPr>
            <w:tcW w:w="674"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477 </w:t>
            </w:r>
          </w:p>
        </w:tc>
        <w:tc>
          <w:tcPr>
            <w:tcW w:w="673" w:type="pct"/>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207</w:t>
            </w:r>
            <w:r>
              <w:rPr>
                <w:rFonts w:ascii="仿宋" w:hAnsi="仿宋" w:eastAsia="仿宋" w:cs="宋体"/>
                <w:bCs/>
                <w:color w:val="000000"/>
                <w:kern w:val="0"/>
                <w:sz w:val="22"/>
              </w:rPr>
              <w:t>8</w:t>
            </w:r>
          </w:p>
        </w:tc>
      </w:tr>
    </w:tbl>
    <w:p>
      <w:pPr>
        <w:adjustRightInd w:val="0"/>
        <w:snapToGrid w:val="0"/>
        <w:spacing w:line="200" w:lineRule="atLeast"/>
        <w:jc w:val="center"/>
        <w:rPr>
          <w:rFonts w:ascii="仿宋" w:hAnsi="仿宋" w:eastAsia="仿宋" w:cs="Times New Roman"/>
          <w:bCs/>
          <w:sz w:val="28"/>
          <w:szCs w:val="28"/>
        </w:rPr>
      </w:pPr>
    </w:p>
    <w:p>
      <w:pPr>
        <w:widowControl/>
        <w:jc w:val="left"/>
        <w:rPr>
          <w:rFonts w:ascii="仿宋" w:hAnsi="仿宋" w:eastAsia="仿宋" w:cs="Times New Roman"/>
          <w:bCs/>
          <w:sz w:val="28"/>
          <w:szCs w:val="28"/>
        </w:rPr>
      </w:pPr>
      <w:r>
        <w:rPr>
          <w:rFonts w:ascii="仿宋" w:hAnsi="仿宋" w:eastAsia="仿宋" w:cs="Times New Roman"/>
          <w:bCs/>
          <w:sz w:val="28"/>
          <w:szCs w:val="28"/>
        </w:rPr>
        <w:br w:type="page"/>
      </w:r>
    </w:p>
    <w:p>
      <w:pPr>
        <w:adjustRightInd w:val="0"/>
        <w:snapToGrid w:val="0"/>
        <w:spacing w:line="200" w:lineRule="atLeast"/>
        <w:jc w:val="center"/>
        <w:rPr>
          <w:rFonts w:ascii="仿宋" w:hAnsi="仿宋" w:eastAsia="仿宋" w:cs="Times New Roman"/>
          <w:bCs/>
          <w:sz w:val="28"/>
          <w:szCs w:val="28"/>
        </w:rPr>
      </w:pPr>
      <w:r>
        <w:rPr>
          <w:rFonts w:ascii="仿宋" w:hAnsi="仿宋" w:eastAsia="仿宋" w:cs="Times New Roman"/>
          <w:bCs/>
          <w:sz w:val="28"/>
          <w:szCs w:val="28"/>
        </w:rPr>
        <w:t>5.</w:t>
      </w:r>
      <w:r>
        <w:rPr>
          <w:rFonts w:hint="eastAsia" w:ascii="仿宋" w:hAnsi="仿宋" w:eastAsia="仿宋" w:cs="Times New Roman"/>
          <w:bCs/>
          <w:sz w:val="28"/>
          <w:szCs w:val="28"/>
        </w:rPr>
        <w:t>云和县高标准农田建设“十四五”规划高效节水灌溉农田建设可实现潜力表</w:t>
      </w:r>
    </w:p>
    <w:p>
      <w:pPr>
        <w:adjustRightInd w:val="0"/>
        <w:snapToGrid w:val="0"/>
        <w:spacing w:line="200" w:lineRule="atLeast"/>
        <w:ind w:left="1440"/>
        <w:jc w:val="right"/>
        <w:rPr>
          <w:rFonts w:ascii="仿宋" w:hAnsi="仿宋" w:eastAsia="仿宋" w:cs="Times New Roman"/>
          <w:bCs/>
          <w:sz w:val="24"/>
          <w:szCs w:val="28"/>
        </w:rPr>
      </w:pPr>
      <w:r>
        <w:rPr>
          <w:rFonts w:hint="eastAsia" w:ascii="仿宋" w:hAnsi="仿宋" w:eastAsia="仿宋" w:cs="Times New Roman"/>
          <w:bCs/>
          <w:sz w:val="24"/>
          <w:szCs w:val="28"/>
        </w:rPr>
        <w:t>单位：亩</w:t>
      </w:r>
    </w:p>
    <w:tbl>
      <w:tblPr>
        <w:tblStyle w:val="85"/>
        <w:tblW w:w="5000" w:type="pct"/>
        <w:tblInd w:w="0" w:type="dxa"/>
        <w:tblLayout w:type="autofit"/>
        <w:tblCellMar>
          <w:top w:w="0" w:type="dxa"/>
          <w:left w:w="108" w:type="dxa"/>
          <w:bottom w:w="0" w:type="dxa"/>
          <w:right w:w="108" w:type="dxa"/>
        </w:tblCellMar>
      </w:tblPr>
      <w:tblGrid>
        <w:gridCol w:w="2691"/>
        <w:gridCol w:w="2691"/>
        <w:gridCol w:w="2691"/>
        <w:gridCol w:w="3686"/>
        <w:gridCol w:w="1695"/>
      </w:tblGrid>
      <w:tr>
        <w:tblPrEx>
          <w:tblCellMar>
            <w:top w:w="0" w:type="dxa"/>
            <w:left w:w="108" w:type="dxa"/>
            <w:bottom w:w="0" w:type="dxa"/>
            <w:right w:w="108" w:type="dxa"/>
          </w:tblCellMar>
        </w:tblPrEx>
        <w:trPr>
          <w:trHeight w:val="300" w:hRule="atLeast"/>
        </w:trPr>
        <w:tc>
          <w:tcPr>
            <w:tcW w:w="2000" w:type="pct"/>
            <w:gridSpan w:val="2"/>
            <w:vMerge w:val="restart"/>
            <w:tcBorders>
              <w:top w:val="single" w:color="auto" w:sz="8" w:space="0"/>
              <w:left w:val="single" w:color="auto" w:sz="8" w:space="0"/>
              <w:bottom w:val="single" w:color="000000" w:sz="8" w:space="0"/>
              <w:right w:val="single" w:color="000000"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行政区</w:t>
            </w:r>
          </w:p>
        </w:tc>
        <w:tc>
          <w:tcPr>
            <w:tcW w:w="2370" w:type="pct"/>
            <w:gridSpan w:val="2"/>
            <w:tcBorders>
              <w:top w:val="single" w:color="auto" w:sz="8" w:space="0"/>
              <w:left w:val="nil"/>
              <w:bottom w:val="single" w:color="auto" w:sz="8" w:space="0"/>
              <w:right w:val="nil"/>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近期实施年份</w:t>
            </w:r>
          </w:p>
        </w:tc>
        <w:tc>
          <w:tcPr>
            <w:tcW w:w="630" w:type="pct"/>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合计</w:t>
            </w:r>
          </w:p>
        </w:tc>
      </w:tr>
      <w:tr>
        <w:tblPrEx>
          <w:tblCellMar>
            <w:top w:w="0" w:type="dxa"/>
            <w:left w:w="108" w:type="dxa"/>
            <w:bottom w:w="0" w:type="dxa"/>
            <w:right w:w="108" w:type="dxa"/>
          </w:tblCellMar>
        </w:tblPrEx>
        <w:trPr>
          <w:trHeight w:val="300" w:hRule="atLeast"/>
        </w:trPr>
        <w:tc>
          <w:tcPr>
            <w:tcW w:w="2000" w:type="pct"/>
            <w:gridSpan w:val="2"/>
            <w:vMerge w:val="continue"/>
            <w:tcBorders>
              <w:top w:val="single" w:color="auto" w:sz="8" w:space="0"/>
              <w:left w:val="single" w:color="auto" w:sz="8" w:space="0"/>
              <w:bottom w:val="single" w:color="000000" w:sz="8" w:space="0"/>
              <w:right w:val="single" w:color="000000" w:sz="8" w:space="0"/>
            </w:tcBorders>
            <w:vAlign w:val="center"/>
          </w:tcPr>
          <w:p>
            <w:pPr>
              <w:widowControl/>
              <w:spacing w:line="200" w:lineRule="atLeast"/>
              <w:jc w:val="left"/>
              <w:rPr>
                <w:rFonts w:ascii="仿宋" w:hAnsi="仿宋" w:eastAsia="仿宋" w:cs="宋体"/>
                <w:bCs/>
                <w:color w:val="000000"/>
                <w:kern w:val="0"/>
                <w:sz w:val="22"/>
              </w:rPr>
            </w:pPr>
          </w:p>
        </w:tc>
        <w:tc>
          <w:tcPr>
            <w:tcW w:w="1000" w:type="pct"/>
            <w:tcBorders>
              <w:top w:val="nil"/>
              <w:left w:val="nil"/>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2024</w:t>
            </w:r>
          </w:p>
        </w:tc>
        <w:tc>
          <w:tcPr>
            <w:tcW w:w="1370" w:type="pct"/>
            <w:tcBorders>
              <w:top w:val="nil"/>
              <w:left w:val="nil"/>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2025</w:t>
            </w:r>
          </w:p>
        </w:tc>
        <w:tc>
          <w:tcPr>
            <w:tcW w:w="630" w:type="pct"/>
            <w:vMerge w:val="continue"/>
            <w:tcBorders>
              <w:top w:val="single" w:color="auto" w:sz="8" w:space="0"/>
              <w:left w:val="single" w:color="auto" w:sz="8" w:space="0"/>
              <w:bottom w:val="single" w:color="000000" w:sz="8" w:space="0"/>
              <w:right w:val="single" w:color="auto" w:sz="8" w:space="0"/>
            </w:tcBorders>
            <w:vAlign w:val="center"/>
          </w:tcPr>
          <w:p>
            <w:pPr>
              <w:widowControl/>
              <w:spacing w:line="200" w:lineRule="atLeast"/>
              <w:jc w:val="left"/>
              <w:rPr>
                <w:rFonts w:ascii="仿宋" w:hAnsi="仿宋" w:eastAsia="仿宋" w:cs="宋体"/>
                <w:bCs/>
                <w:color w:val="000000"/>
                <w:kern w:val="0"/>
                <w:sz w:val="22"/>
              </w:rPr>
            </w:pPr>
          </w:p>
        </w:tc>
      </w:tr>
      <w:tr>
        <w:tblPrEx>
          <w:tblCellMar>
            <w:top w:w="0" w:type="dxa"/>
            <w:left w:w="108" w:type="dxa"/>
            <w:bottom w:w="0" w:type="dxa"/>
            <w:right w:w="108" w:type="dxa"/>
          </w:tblCellMar>
        </w:tblPrEx>
        <w:trPr>
          <w:trHeight w:val="300" w:hRule="atLeast"/>
        </w:trPr>
        <w:tc>
          <w:tcPr>
            <w:tcW w:w="1000" w:type="pct"/>
            <w:tcBorders>
              <w:top w:val="nil"/>
              <w:left w:val="single" w:color="auto" w:sz="8" w:space="0"/>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元和街道</w:t>
            </w:r>
          </w:p>
        </w:tc>
        <w:tc>
          <w:tcPr>
            <w:tcW w:w="1000" w:type="pct"/>
            <w:tcBorders>
              <w:top w:val="nil"/>
              <w:left w:val="nil"/>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小徐村</w:t>
            </w:r>
          </w:p>
        </w:tc>
        <w:tc>
          <w:tcPr>
            <w:tcW w:w="1000" w:type="pct"/>
            <w:tcBorders>
              <w:top w:val="nil"/>
              <w:left w:val="nil"/>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275</w:t>
            </w:r>
          </w:p>
        </w:tc>
        <w:tc>
          <w:tcPr>
            <w:tcW w:w="1370" w:type="pct"/>
            <w:tcBorders>
              <w:top w:val="nil"/>
              <w:left w:val="nil"/>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630" w:type="pct"/>
            <w:tcBorders>
              <w:top w:val="nil"/>
              <w:left w:val="nil"/>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275</w:t>
            </w:r>
          </w:p>
        </w:tc>
      </w:tr>
      <w:tr>
        <w:tblPrEx>
          <w:tblCellMar>
            <w:top w:w="0" w:type="dxa"/>
            <w:left w:w="108" w:type="dxa"/>
            <w:bottom w:w="0" w:type="dxa"/>
            <w:right w:w="108" w:type="dxa"/>
          </w:tblCellMar>
        </w:tblPrEx>
        <w:trPr>
          <w:trHeight w:val="300" w:hRule="atLeast"/>
        </w:trPr>
        <w:tc>
          <w:tcPr>
            <w:tcW w:w="1000" w:type="pct"/>
            <w:tcBorders>
              <w:top w:val="nil"/>
              <w:left w:val="single" w:color="auto" w:sz="8" w:space="0"/>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w:t>
            </w:r>
          </w:p>
        </w:tc>
        <w:tc>
          <w:tcPr>
            <w:tcW w:w="1000" w:type="pct"/>
            <w:tcBorders>
              <w:top w:val="nil"/>
              <w:left w:val="nil"/>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朱村村</w:t>
            </w:r>
          </w:p>
        </w:tc>
        <w:tc>
          <w:tcPr>
            <w:tcW w:w="1000" w:type="pct"/>
            <w:tcBorders>
              <w:top w:val="nil"/>
              <w:left w:val="nil"/>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hint="eastAsia" w:ascii="仿宋" w:hAnsi="仿宋" w:eastAsia="仿宋" w:cs="宋体"/>
                <w:bCs/>
                <w:color w:val="000000"/>
                <w:kern w:val="0"/>
                <w:sz w:val="22"/>
              </w:rPr>
              <w:t>　</w:t>
            </w:r>
          </w:p>
        </w:tc>
        <w:tc>
          <w:tcPr>
            <w:tcW w:w="1370" w:type="pct"/>
            <w:tcBorders>
              <w:top w:val="nil"/>
              <w:left w:val="nil"/>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ascii="仿宋" w:hAnsi="仿宋" w:eastAsia="仿宋" w:cs="宋体"/>
                <w:bCs/>
                <w:color w:val="000000"/>
                <w:kern w:val="0"/>
                <w:sz w:val="22"/>
              </w:rPr>
              <w:t>147</w:t>
            </w:r>
          </w:p>
        </w:tc>
        <w:tc>
          <w:tcPr>
            <w:tcW w:w="630" w:type="pct"/>
            <w:tcBorders>
              <w:top w:val="nil"/>
              <w:left w:val="nil"/>
              <w:bottom w:val="single" w:color="auto" w:sz="8" w:space="0"/>
              <w:right w:val="single" w:color="auto" w:sz="8" w:space="0"/>
            </w:tcBorders>
            <w:shd w:val="clear" w:color="auto" w:fill="auto"/>
            <w:noWrap/>
            <w:vAlign w:val="center"/>
          </w:tcPr>
          <w:p>
            <w:pPr>
              <w:widowControl/>
              <w:spacing w:line="200" w:lineRule="atLeast"/>
              <w:jc w:val="center"/>
              <w:rPr>
                <w:rFonts w:ascii="仿宋" w:hAnsi="仿宋" w:eastAsia="仿宋" w:cs="宋体"/>
                <w:bCs/>
                <w:color w:val="000000"/>
                <w:kern w:val="0"/>
                <w:sz w:val="22"/>
              </w:rPr>
            </w:pPr>
            <w:r>
              <w:rPr>
                <w:rFonts w:ascii="仿宋" w:hAnsi="仿宋" w:eastAsia="仿宋" w:cs="宋体"/>
                <w:bCs/>
                <w:color w:val="000000"/>
                <w:kern w:val="0"/>
                <w:sz w:val="22"/>
              </w:rPr>
              <w:t>147</w:t>
            </w:r>
          </w:p>
        </w:tc>
      </w:tr>
      <w:tr>
        <w:tblPrEx>
          <w:tblCellMar>
            <w:top w:w="0" w:type="dxa"/>
            <w:left w:w="108" w:type="dxa"/>
            <w:bottom w:w="0" w:type="dxa"/>
            <w:right w:w="108" w:type="dxa"/>
          </w:tblCellMar>
        </w:tblPrEx>
        <w:trPr>
          <w:trHeight w:val="300" w:hRule="atLeast"/>
        </w:trPr>
        <w:tc>
          <w:tcPr>
            <w:tcW w:w="2000" w:type="pct"/>
            <w:gridSpan w:val="2"/>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100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275</w:t>
            </w:r>
          </w:p>
        </w:tc>
        <w:tc>
          <w:tcPr>
            <w:tcW w:w="137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宋体"/>
                <w:bCs/>
                <w:color w:val="000000"/>
                <w:kern w:val="0"/>
                <w:sz w:val="22"/>
              </w:rPr>
              <w:t>147</w:t>
            </w:r>
          </w:p>
        </w:tc>
        <w:tc>
          <w:tcPr>
            <w:tcW w:w="630" w:type="pct"/>
            <w:tcBorders>
              <w:top w:val="nil"/>
              <w:left w:val="nil"/>
              <w:bottom w:val="single" w:color="auto" w:sz="8" w:space="0"/>
              <w:right w:val="single" w:color="auto" w:sz="8" w:space="0"/>
            </w:tcBorders>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4</w:t>
            </w:r>
            <w:r>
              <w:rPr>
                <w:rFonts w:ascii="仿宋" w:hAnsi="仿宋" w:eastAsia="仿宋" w:cs="宋体"/>
                <w:bCs/>
                <w:color w:val="000000"/>
                <w:kern w:val="0"/>
                <w:sz w:val="22"/>
              </w:rPr>
              <w:t>22</w:t>
            </w:r>
          </w:p>
        </w:tc>
      </w:tr>
    </w:tbl>
    <w:p>
      <w:pPr>
        <w:widowControl/>
        <w:jc w:val="left"/>
        <w:rPr>
          <w:rFonts w:ascii="仿宋" w:hAnsi="仿宋" w:eastAsia="仿宋" w:cs="Times New Roman"/>
          <w:bCs/>
          <w:sz w:val="28"/>
          <w:szCs w:val="28"/>
        </w:rPr>
      </w:pPr>
    </w:p>
    <w:p>
      <w:pPr>
        <w:widowControl/>
        <w:jc w:val="left"/>
        <w:rPr>
          <w:rFonts w:ascii="仿宋" w:hAnsi="仿宋" w:eastAsia="仿宋" w:cs="Times New Roman"/>
          <w:bCs/>
          <w:sz w:val="28"/>
          <w:szCs w:val="28"/>
        </w:rPr>
      </w:pPr>
    </w:p>
    <w:p>
      <w:pPr>
        <w:adjustRightInd w:val="0"/>
        <w:snapToGrid w:val="0"/>
        <w:spacing w:line="200" w:lineRule="atLeast"/>
        <w:jc w:val="center"/>
        <w:rPr>
          <w:rFonts w:ascii="仿宋" w:hAnsi="仿宋" w:eastAsia="仿宋" w:cs="Times New Roman"/>
          <w:bCs/>
          <w:sz w:val="28"/>
          <w:szCs w:val="28"/>
        </w:rPr>
      </w:pPr>
      <w:r>
        <w:rPr>
          <w:rFonts w:ascii="仿宋" w:hAnsi="仿宋" w:eastAsia="仿宋" w:cs="Times New Roman"/>
          <w:bCs/>
          <w:sz w:val="28"/>
          <w:szCs w:val="28"/>
        </w:rPr>
        <w:t>6.</w:t>
      </w:r>
      <w:r>
        <w:rPr>
          <w:rFonts w:hint="eastAsia" w:ascii="仿宋" w:hAnsi="仿宋" w:eastAsia="仿宋" w:cs="Times New Roman"/>
          <w:bCs/>
          <w:sz w:val="28"/>
          <w:szCs w:val="28"/>
        </w:rPr>
        <w:t>云和县高标准农田建设“十四五”规划可实现潜力分区建设表</w:t>
      </w:r>
    </w:p>
    <w:p>
      <w:pPr>
        <w:ind w:left="1440"/>
        <w:jc w:val="right"/>
        <w:rPr>
          <w:rFonts w:ascii="仿宋" w:hAnsi="仿宋" w:eastAsia="仿宋" w:cs="Times New Roman"/>
          <w:bCs/>
          <w:sz w:val="24"/>
          <w:szCs w:val="28"/>
        </w:rPr>
      </w:pPr>
      <w:r>
        <w:rPr>
          <w:rFonts w:hint="eastAsia" w:ascii="仿宋" w:hAnsi="仿宋" w:eastAsia="仿宋" w:cs="Times New Roman"/>
          <w:bCs/>
          <w:sz w:val="24"/>
          <w:szCs w:val="28"/>
        </w:rPr>
        <w:t>单位：亩</w:t>
      </w:r>
    </w:p>
    <w:tbl>
      <w:tblPr>
        <w:tblStyle w:val="85"/>
        <w:tblW w:w="5000" w:type="pct"/>
        <w:tblInd w:w="0" w:type="dxa"/>
        <w:tblLayout w:type="autofit"/>
        <w:tblCellMar>
          <w:top w:w="0" w:type="dxa"/>
          <w:left w:w="108" w:type="dxa"/>
          <w:bottom w:w="0" w:type="dxa"/>
          <w:right w:w="108" w:type="dxa"/>
        </w:tblCellMar>
      </w:tblPr>
      <w:tblGrid>
        <w:gridCol w:w="2790"/>
        <w:gridCol w:w="2992"/>
        <w:gridCol w:w="2976"/>
        <w:gridCol w:w="2349"/>
        <w:gridCol w:w="2347"/>
      </w:tblGrid>
      <w:tr>
        <w:tblPrEx>
          <w:tblCellMar>
            <w:top w:w="0" w:type="dxa"/>
            <w:left w:w="108" w:type="dxa"/>
            <w:bottom w:w="0" w:type="dxa"/>
            <w:right w:w="108" w:type="dxa"/>
          </w:tblCellMar>
        </w:tblPrEx>
        <w:trPr>
          <w:trHeight w:val="300" w:hRule="atLeast"/>
        </w:trPr>
        <w:tc>
          <w:tcPr>
            <w:tcW w:w="103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功能区</w:t>
            </w:r>
          </w:p>
        </w:tc>
        <w:tc>
          <w:tcPr>
            <w:tcW w:w="3963" w:type="pct"/>
            <w:gridSpan w:val="4"/>
            <w:tcBorders>
              <w:top w:val="single" w:color="auto" w:sz="4" w:space="0"/>
              <w:left w:val="nil"/>
              <w:bottom w:val="single" w:color="auto" w:sz="4" w:space="0"/>
              <w:right w:val="single" w:color="auto" w:sz="4" w:space="0"/>
            </w:tcBorders>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潜力情况</w:t>
            </w:r>
          </w:p>
        </w:tc>
      </w:tr>
      <w:tr>
        <w:tblPrEx>
          <w:tblCellMar>
            <w:top w:w="0" w:type="dxa"/>
            <w:left w:w="108" w:type="dxa"/>
            <w:bottom w:w="0" w:type="dxa"/>
            <w:right w:w="108" w:type="dxa"/>
          </w:tblCellMar>
        </w:tblPrEx>
        <w:trPr>
          <w:trHeight w:val="89" w:hRule="atLeast"/>
        </w:trPr>
        <w:tc>
          <w:tcPr>
            <w:tcW w:w="103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Cs/>
                <w:color w:val="000000"/>
                <w:kern w:val="0"/>
                <w:sz w:val="22"/>
              </w:rPr>
            </w:pPr>
          </w:p>
        </w:tc>
        <w:tc>
          <w:tcPr>
            <w:tcW w:w="11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提质改造</w:t>
            </w:r>
          </w:p>
        </w:tc>
        <w:tc>
          <w:tcPr>
            <w:tcW w:w="1106"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绿色农田建设</w:t>
            </w:r>
          </w:p>
        </w:tc>
        <w:tc>
          <w:tcPr>
            <w:tcW w:w="873"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宜机化改造</w:t>
            </w:r>
          </w:p>
        </w:tc>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高效节水灌溉</w:t>
            </w:r>
          </w:p>
        </w:tc>
      </w:tr>
      <w:tr>
        <w:tblPrEx>
          <w:tblCellMar>
            <w:top w:w="0" w:type="dxa"/>
            <w:left w:w="108" w:type="dxa"/>
            <w:bottom w:w="0" w:type="dxa"/>
            <w:right w:w="108" w:type="dxa"/>
          </w:tblCellMar>
        </w:tblPrEx>
        <w:trPr>
          <w:trHeight w:val="77" w:hRule="atLeast"/>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北部丘陵农区</w:t>
            </w:r>
          </w:p>
        </w:tc>
        <w:tc>
          <w:tcPr>
            <w:tcW w:w="11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2904 </w:t>
            </w:r>
          </w:p>
        </w:tc>
        <w:tc>
          <w:tcPr>
            <w:tcW w:w="1106"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980 </w:t>
            </w:r>
          </w:p>
        </w:tc>
        <w:tc>
          <w:tcPr>
            <w:tcW w:w="873"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1</w:t>
            </w:r>
            <w:r>
              <w:rPr>
                <w:rFonts w:ascii="仿宋" w:hAnsi="仿宋" w:eastAsia="仿宋" w:cs="宋体"/>
                <w:bCs/>
                <w:color w:val="000000"/>
                <w:kern w:val="0"/>
                <w:sz w:val="22"/>
              </w:rPr>
              <w:t>50</w:t>
            </w:r>
            <w:r>
              <w:rPr>
                <w:rFonts w:hint="eastAsia" w:ascii="仿宋" w:hAnsi="仿宋" w:eastAsia="仿宋" w:cs="宋体"/>
                <w:bCs/>
                <w:color w:val="000000"/>
                <w:kern w:val="0"/>
                <w:sz w:val="22"/>
              </w:rPr>
              <w:t xml:space="preserve"> </w:t>
            </w:r>
          </w:p>
        </w:tc>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1</w:t>
            </w:r>
            <w:r>
              <w:rPr>
                <w:rFonts w:ascii="仿宋" w:hAnsi="仿宋" w:eastAsia="仿宋" w:cs="宋体"/>
                <w:bCs/>
                <w:color w:val="000000"/>
                <w:kern w:val="0"/>
                <w:sz w:val="22"/>
              </w:rPr>
              <w:t>47</w:t>
            </w:r>
          </w:p>
        </w:tc>
      </w:tr>
      <w:tr>
        <w:tblPrEx>
          <w:tblCellMar>
            <w:top w:w="0" w:type="dxa"/>
            <w:left w:w="108" w:type="dxa"/>
            <w:bottom w:w="0" w:type="dxa"/>
            <w:right w:w="108" w:type="dxa"/>
          </w:tblCellMar>
        </w:tblPrEx>
        <w:trPr>
          <w:trHeight w:val="189" w:hRule="atLeast"/>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中部河谷农区</w:t>
            </w:r>
          </w:p>
        </w:tc>
        <w:tc>
          <w:tcPr>
            <w:tcW w:w="11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2034 </w:t>
            </w:r>
          </w:p>
        </w:tc>
        <w:tc>
          <w:tcPr>
            <w:tcW w:w="1106"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0 </w:t>
            </w:r>
          </w:p>
        </w:tc>
        <w:tc>
          <w:tcPr>
            <w:tcW w:w="873"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735 </w:t>
            </w:r>
          </w:p>
        </w:tc>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w:t>
            </w:r>
            <w:r>
              <w:rPr>
                <w:rFonts w:ascii="仿宋" w:hAnsi="仿宋" w:eastAsia="仿宋" w:cs="宋体"/>
                <w:bCs/>
                <w:color w:val="000000"/>
                <w:kern w:val="0"/>
                <w:sz w:val="22"/>
              </w:rPr>
              <w:t>75</w:t>
            </w:r>
          </w:p>
        </w:tc>
      </w:tr>
      <w:tr>
        <w:tblPrEx>
          <w:tblCellMar>
            <w:top w:w="0" w:type="dxa"/>
            <w:left w:w="108" w:type="dxa"/>
            <w:bottom w:w="0" w:type="dxa"/>
            <w:right w:w="108" w:type="dxa"/>
          </w:tblCellMar>
        </w:tblPrEx>
        <w:trPr>
          <w:trHeight w:val="77" w:hRule="atLeast"/>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南部梯田农区</w:t>
            </w:r>
          </w:p>
        </w:tc>
        <w:tc>
          <w:tcPr>
            <w:tcW w:w="11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2321 </w:t>
            </w:r>
          </w:p>
        </w:tc>
        <w:tc>
          <w:tcPr>
            <w:tcW w:w="1106"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1083 </w:t>
            </w:r>
          </w:p>
        </w:tc>
        <w:tc>
          <w:tcPr>
            <w:tcW w:w="873"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1193 </w:t>
            </w:r>
          </w:p>
        </w:tc>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0</w:t>
            </w:r>
          </w:p>
        </w:tc>
      </w:tr>
      <w:tr>
        <w:tblPrEx>
          <w:tblCellMar>
            <w:top w:w="0" w:type="dxa"/>
            <w:left w:w="108" w:type="dxa"/>
            <w:bottom w:w="0" w:type="dxa"/>
            <w:right w:w="108" w:type="dxa"/>
          </w:tblCellMar>
        </w:tblPrEx>
        <w:trPr>
          <w:trHeight w:val="285" w:hRule="atLeast"/>
        </w:trPr>
        <w:tc>
          <w:tcPr>
            <w:tcW w:w="103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1112"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7259 </w:t>
            </w:r>
          </w:p>
        </w:tc>
        <w:tc>
          <w:tcPr>
            <w:tcW w:w="1106" w:type="pct"/>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 xml:space="preserve">2063 </w:t>
            </w:r>
          </w:p>
        </w:tc>
        <w:tc>
          <w:tcPr>
            <w:tcW w:w="873" w:type="pct"/>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207</w:t>
            </w:r>
            <w:r>
              <w:rPr>
                <w:rFonts w:ascii="仿宋" w:hAnsi="仿宋" w:eastAsia="仿宋" w:cs="宋体"/>
                <w:bCs/>
                <w:color w:val="000000"/>
                <w:kern w:val="0"/>
                <w:sz w:val="22"/>
              </w:rPr>
              <w:t>8</w:t>
            </w:r>
            <w:r>
              <w:rPr>
                <w:rFonts w:hint="eastAsia" w:ascii="仿宋" w:hAnsi="仿宋" w:eastAsia="仿宋" w:cs="宋体"/>
                <w:bCs/>
                <w:color w:val="000000"/>
                <w:kern w:val="0"/>
                <w:sz w:val="22"/>
              </w:rPr>
              <w:t xml:space="preserve"> </w:t>
            </w:r>
          </w:p>
        </w:tc>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4</w:t>
            </w:r>
            <w:r>
              <w:rPr>
                <w:rFonts w:ascii="仿宋" w:hAnsi="仿宋" w:eastAsia="仿宋" w:cs="宋体"/>
                <w:bCs/>
                <w:color w:val="000000"/>
                <w:kern w:val="0"/>
                <w:sz w:val="22"/>
              </w:rPr>
              <w:t>22</w:t>
            </w:r>
          </w:p>
        </w:tc>
      </w:tr>
    </w:tbl>
    <w:p>
      <w:pPr>
        <w:jc w:val="center"/>
        <w:rPr>
          <w:rFonts w:ascii="仿宋" w:hAnsi="仿宋" w:eastAsia="仿宋" w:cs="Times New Roman"/>
          <w:bCs/>
          <w:sz w:val="28"/>
          <w:szCs w:val="28"/>
        </w:rPr>
      </w:pPr>
    </w:p>
    <w:p>
      <w:pPr>
        <w:widowControl/>
        <w:jc w:val="left"/>
        <w:rPr>
          <w:rFonts w:ascii="仿宋" w:hAnsi="仿宋" w:eastAsia="仿宋" w:cs="Times New Roman"/>
          <w:bCs/>
          <w:sz w:val="28"/>
          <w:szCs w:val="28"/>
        </w:rPr>
      </w:pPr>
      <w:r>
        <w:rPr>
          <w:rFonts w:ascii="仿宋" w:hAnsi="仿宋" w:eastAsia="仿宋" w:cs="Times New Roman"/>
          <w:bCs/>
          <w:sz w:val="28"/>
          <w:szCs w:val="28"/>
        </w:rPr>
        <w:br w:type="page"/>
      </w:r>
    </w:p>
    <w:p>
      <w:pPr>
        <w:adjustRightInd w:val="0"/>
        <w:snapToGrid w:val="0"/>
        <w:spacing w:line="200" w:lineRule="atLeast"/>
        <w:jc w:val="center"/>
        <w:rPr>
          <w:rFonts w:ascii="仿宋" w:hAnsi="仿宋" w:eastAsia="仿宋" w:cs="Times New Roman"/>
          <w:bCs/>
          <w:sz w:val="28"/>
          <w:szCs w:val="28"/>
        </w:rPr>
      </w:pPr>
      <w:r>
        <w:rPr>
          <w:rFonts w:ascii="仿宋" w:hAnsi="仿宋" w:eastAsia="仿宋" w:cs="Times New Roman"/>
          <w:bCs/>
          <w:sz w:val="28"/>
          <w:szCs w:val="28"/>
        </w:rPr>
        <w:t>7.</w:t>
      </w:r>
      <w:r>
        <w:rPr>
          <w:rFonts w:hint="eastAsia" w:ascii="仿宋" w:hAnsi="仿宋" w:eastAsia="仿宋" w:cs="Times New Roman"/>
          <w:bCs/>
          <w:sz w:val="28"/>
          <w:szCs w:val="28"/>
        </w:rPr>
        <w:t>云和县高标准农田建设“十四五”规划重点建设项目表</w:t>
      </w:r>
    </w:p>
    <w:p>
      <w:pPr>
        <w:adjustRightInd w:val="0"/>
        <w:snapToGrid w:val="0"/>
        <w:spacing w:line="200" w:lineRule="atLeast"/>
        <w:jc w:val="right"/>
        <w:rPr>
          <w:rFonts w:ascii="仿宋" w:hAnsi="仿宋" w:eastAsia="仿宋" w:cs="Times New Roman"/>
          <w:bCs/>
          <w:sz w:val="24"/>
          <w:szCs w:val="24"/>
        </w:rPr>
      </w:pPr>
      <w:r>
        <w:rPr>
          <w:rFonts w:hint="eastAsia" w:ascii="仿宋" w:hAnsi="仿宋" w:eastAsia="仿宋" w:cs="Times New Roman"/>
          <w:bCs/>
          <w:sz w:val="24"/>
          <w:szCs w:val="24"/>
        </w:rPr>
        <w:t>单位：万亩、万元</w:t>
      </w:r>
    </w:p>
    <w:tbl>
      <w:tblPr>
        <w:tblStyle w:val="8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5"/>
        <w:gridCol w:w="7397"/>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类型</w:t>
            </w: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项目名称</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规模</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绿色农田建设</w:t>
            </w: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崇头镇梅源村绿色农田建设项目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0.11</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5</w:t>
            </w:r>
            <w:r>
              <w:rPr>
                <w:rFonts w:ascii="仿宋" w:hAnsi="仿宋" w:eastAsia="仿宋" w:cs="宋体"/>
                <w:bCs/>
                <w:color w:val="000000"/>
                <w:kern w:val="0"/>
                <w:sz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石塘镇规溪村绿色农田建设项目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0.10</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小计</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0.21</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已建高标准农田提质改造</w:t>
            </w: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安溪畲族乡安溪村等2村高标准农田提质改造项目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0.10 </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白龙山街道泓新村等2村高标准农田提质改造项目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0.04 </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崇头镇大湾村高标准农田提质改造项目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0.17 </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崇头镇后垟村等2村高标准农田提质改造项目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0.03 </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崇头镇梅源村等4村高标准农田提质改造项目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0.03 </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紧水滩镇大源村等2村高标准农田提质改造项目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0.03 </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紧水滩镇金水坑村等2村高标准农田提质改造项目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0.09 </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紧水滩镇龙门村高标准农田提质改造项目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0.05 </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石塘镇龙河村等3村高标准农田提质改造项目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0.11 </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元和街道梅湾村高标准农田提质改造项目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0.06 </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小计</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Cs w:val="21"/>
              </w:rPr>
              <w:t xml:space="preserve">0.73 </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bCs/>
                <w:color w:val="000000"/>
                <w:sz w:val="22"/>
              </w:rPr>
              <w:t>3650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restar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宜机化改造</w:t>
            </w: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崇头镇崇头村农田宜机化改造项目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0.07</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崇头镇梅源村农田宜机化改造项目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0.05</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凤凰山街道贵溪村农田宜机化改造项目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0.07</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石塘镇规溪村农田宜机化改造项目</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0.02</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小计</w:t>
            </w:r>
          </w:p>
        </w:tc>
        <w:tc>
          <w:tcPr>
            <w:tcW w:w="528" w:type="pct"/>
            <w:shd w:val="clear" w:color="auto" w:fill="auto"/>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0.21</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restart"/>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宜机化改造</w:t>
            </w: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元和街道小徐村高效节水灌溉项目</w:t>
            </w:r>
          </w:p>
        </w:tc>
        <w:tc>
          <w:tcPr>
            <w:tcW w:w="528" w:type="pct"/>
            <w:shd w:val="clear" w:color="auto" w:fill="auto"/>
            <w:vAlign w:val="center"/>
          </w:tcPr>
          <w:p>
            <w:pPr>
              <w:widowControl/>
              <w:jc w:val="center"/>
              <w:rPr>
                <w:rFonts w:ascii="仿宋" w:hAnsi="仿宋" w:eastAsia="仿宋" w:cs="Times New Roman"/>
                <w:bCs/>
                <w:color w:val="000000"/>
                <w:sz w:val="22"/>
              </w:rPr>
            </w:pPr>
            <w:r>
              <w:rPr>
                <w:rFonts w:hint="eastAsia" w:ascii="仿宋" w:hAnsi="仿宋" w:eastAsia="仿宋" w:cs="宋体"/>
                <w:bCs/>
                <w:color w:val="000000"/>
                <w:kern w:val="0"/>
                <w:sz w:val="22"/>
              </w:rPr>
              <w:t>0.03</w:t>
            </w:r>
          </w:p>
        </w:tc>
        <w:tc>
          <w:tcPr>
            <w:tcW w:w="528" w:type="pct"/>
            <w:shd w:val="clear" w:color="auto" w:fill="auto"/>
            <w:noWrap/>
            <w:vAlign w:val="center"/>
          </w:tcPr>
          <w:p>
            <w:pPr>
              <w:widowControl/>
              <w:jc w:val="center"/>
              <w:rPr>
                <w:rFonts w:ascii="仿宋" w:hAnsi="仿宋" w:eastAsia="仿宋" w:cs="Times New Roman"/>
                <w:bCs/>
                <w:color w:val="000000"/>
                <w:sz w:val="22"/>
              </w:rPr>
            </w:pPr>
            <w:r>
              <w:rPr>
                <w:rFonts w:hint="eastAsia" w:ascii="仿宋" w:hAnsi="仿宋" w:eastAsia="仿宋" w:cs="宋体"/>
                <w:bCs/>
                <w:color w:val="000000"/>
                <w:kern w:val="0"/>
                <w:sz w:val="22"/>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石塘镇朱村村高效节水灌溉项目</w:t>
            </w:r>
          </w:p>
        </w:tc>
        <w:tc>
          <w:tcPr>
            <w:tcW w:w="528" w:type="pct"/>
            <w:shd w:val="clear" w:color="auto" w:fill="auto"/>
            <w:vAlign w:val="center"/>
          </w:tcPr>
          <w:p>
            <w:pPr>
              <w:widowControl/>
              <w:jc w:val="center"/>
              <w:rPr>
                <w:rFonts w:ascii="仿宋" w:hAnsi="仿宋" w:eastAsia="仿宋" w:cs="Times New Roman"/>
                <w:bCs/>
                <w:color w:val="000000"/>
                <w:sz w:val="22"/>
              </w:rPr>
            </w:pPr>
            <w:r>
              <w:rPr>
                <w:rFonts w:hint="eastAsia" w:ascii="仿宋" w:hAnsi="仿宋" w:eastAsia="仿宋" w:cs="宋体"/>
                <w:bCs/>
                <w:color w:val="000000"/>
                <w:kern w:val="0"/>
                <w:sz w:val="22"/>
              </w:rPr>
              <w:t>0.0</w:t>
            </w:r>
            <w:r>
              <w:rPr>
                <w:rFonts w:ascii="仿宋" w:hAnsi="仿宋" w:eastAsia="仿宋" w:cs="宋体"/>
                <w:bCs/>
                <w:color w:val="000000"/>
                <w:kern w:val="0"/>
                <w:sz w:val="22"/>
              </w:rPr>
              <w:t>1</w:t>
            </w:r>
          </w:p>
        </w:tc>
        <w:tc>
          <w:tcPr>
            <w:tcW w:w="528" w:type="pct"/>
            <w:shd w:val="clear" w:color="auto" w:fill="auto"/>
            <w:noWrap/>
            <w:vAlign w:val="center"/>
          </w:tcPr>
          <w:p>
            <w:pPr>
              <w:widowControl/>
              <w:jc w:val="center"/>
              <w:rPr>
                <w:rFonts w:ascii="仿宋" w:hAnsi="仿宋" w:eastAsia="仿宋" w:cs="Times New Roman"/>
                <w:bCs/>
                <w:color w:val="000000"/>
                <w:sz w:val="22"/>
              </w:rPr>
            </w:pPr>
            <w:r>
              <w:rPr>
                <w:rFonts w:hint="eastAsia" w:ascii="仿宋" w:hAnsi="仿宋" w:eastAsia="仿宋" w:cs="宋体"/>
                <w:bCs/>
                <w:color w:val="000000"/>
                <w:kern w:val="0"/>
                <w:sz w:val="22"/>
              </w:rPr>
              <w:t>2</w:t>
            </w:r>
            <w:r>
              <w:rPr>
                <w:rFonts w:ascii="仿宋" w:hAnsi="仿宋" w:eastAsia="仿宋" w:cs="宋体"/>
                <w:bCs/>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5" w:type="pct"/>
            <w:vMerge w:val="continue"/>
            <w:vAlign w:val="center"/>
          </w:tcPr>
          <w:p>
            <w:pPr>
              <w:widowControl/>
              <w:jc w:val="left"/>
              <w:rPr>
                <w:rFonts w:ascii="仿宋" w:hAnsi="仿宋" w:eastAsia="仿宋" w:cs="宋体"/>
                <w:bCs/>
                <w:color w:val="000000"/>
                <w:kern w:val="0"/>
                <w:sz w:val="22"/>
              </w:rPr>
            </w:pPr>
          </w:p>
        </w:tc>
        <w:tc>
          <w:tcPr>
            <w:tcW w:w="2749"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小计</w:t>
            </w:r>
          </w:p>
        </w:tc>
        <w:tc>
          <w:tcPr>
            <w:tcW w:w="528" w:type="pct"/>
            <w:shd w:val="clear" w:color="auto" w:fill="auto"/>
            <w:vAlign w:val="center"/>
          </w:tcPr>
          <w:p>
            <w:pPr>
              <w:widowControl/>
              <w:jc w:val="center"/>
              <w:rPr>
                <w:rFonts w:ascii="仿宋" w:hAnsi="仿宋" w:eastAsia="仿宋" w:cs="Times New Roman"/>
                <w:bCs/>
                <w:color w:val="000000"/>
                <w:sz w:val="22"/>
              </w:rPr>
            </w:pPr>
            <w:r>
              <w:rPr>
                <w:rFonts w:hint="eastAsia" w:ascii="仿宋" w:hAnsi="仿宋" w:eastAsia="仿宋" w:cs="宋体"/>
                <w:bCs/>
                <w:color w:val="000000"/>
                <w:kern w:val="0"/>
                <w:sz w:val="22"/>
              </w:rPr>
              <w:t>0.0</w:t>
            </w:r>
            <w:r>
              <w:rPr>
                <w:rFonts w:ascii="仿宋" w:hAnsi="仿宋" w:eastAsia="仿宋" w:cs="宋体"/>
                <w:bCs/>
                <w:color w:val="000000"/>
                <w:kern w:val="0"/>
                <w:sz w:val="22"/>
              </w:rPr>
              <w:t>4</w:t>
            </w:r>
          </w:p>
        </w:tc>
        <w:tc>
          <w:tcPr>
            <w:tcW w:w="528" w:type="pct"/>
            <w:shd w:val="clear" w:color="auto" w:fill="auto"/>
            <w:noWrap/>
            <w:vAlign w:val="center"/>
          </w:tcPr>
          <w:p>
            <w:pPr>
              <w:widowControl/>
              <w:jc w:val="center"/>
              <w:rPr>
                <w:rFonts w:ascii="仿宋" w:hAnsi="仿宋" w:eastAsia="仿宋" w:cs="Times New Roman"/>
                <w:bCs/>
                <w:color w:val="000000"/>
                <w:sz w:val="22"/>
              </w:rPr>
            </w:pPr>
            <w:r>
              <w:rPr>
                <w:rFonts w:hint="eastAsia" w:ascii="仿宋" w:hAnsi="仿宋" w:eastAsia="仿宋" w:cs="宋体"/>
                <w:bCs/>
                <w:color w:val="000000"/>
                <w:kern w:val="0"/>
                <w:sz w:val="22"/>
              </w:rPr>
              <w:t>8</w:t>
            </w:r>
            <w:r>
              <w:rPr>
                <w:rFonts w:ascii="仿宋" w:hAnsi="仿宋" w:eastAsia="仿宋" w:cs="宋体"/>
                <w:bCs/>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44" w:type="pct"/>
            <w:gridSpan w:val="2"/>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总计</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hint="eastAsia" w:ascii="仿宋" w:hAnsi="仿宋" w:eastAsia="仿宋" w:cs="宋体"/>
                <w:bCs/>
                <w:color w:val="000000"/>
                <w:kern w:val="0"/>
                <w:sz w:val="22"/>
              </w:rPr>
              <w:t>1</w:t>
            </w:r>
            <w:r>
              <w:rPr>
                <w:rFonts w:ascii="仿宋" w:hAnsi="仿宋" w:eastAsia="仿宋" w:cs="宋体"/>
                <w:bCs/>
                <w:color w:val="000000"/>
                <w:kern w:val="0"/>
                <w:sz w:val="22"/>
              </w:rPr>
              <w:t>.19</w:t>
            </w:r>
          </w:p>
        </w:tc>
        <w:tc>
          <w:tcPr>
            <w:tcW w:w="528" w:type="pct"/>
            <w:shd w:val="clear" w:color="auto" w:fill="auto"/>
            <w:noWrap/>
            <w:vAlign w:val="center"/>
          </w:tcPr>
          <w:p>
            <w:pPr>
              <w:widowControl/>
              <w:jc w:val="center"/>
              <w:rPr>
                <w:rFonts w:ascii="仿宋" w:hAnsi="仿宋" w:eastAsia="仿宋" w:cs="宋体"/>
                <w:bCs/>
                <w:color w:val="000000"/>
                <w:kern w:val="0"/>
                <w:sz w:val="22"/>
              </w:rPr>
            </w:pPr>
            <w:r>
              <w:rPr>
                <w:rFonts w:ascii="仿宋" w:hAnsi="仿宋" w:eastAsia="仿宋" w:cs="Times New Roman"/>
                <w:bCs/>
                <w:color w:val="000000"/>
                <w:sz w:val="22"/>
              </w:rPr>
              <w:t>6040</w:t>
            </w:r>
          </w:p>
        </w:tc>
      </w:tr>
    </w:tbl>
    <w:p>
      <w:pPr>
        <w:ind w:firstLine="555"/>
        <w:jc w:val="right"/>
        <w:rPr>
          <w:rFonts w:ascii="仿宋" w:hAnsi="仿宋" w:eastAsia="仿宋" w:cs="Times New Roman"/>
          <w:bCs/>
          <w:sz w:val="22"/>
          <w:szCs w:val="28"/>
        </w:rPr>
      </w:pPr>
    </w:p>
    <w:p>
      <w:pPr>
        <w:rPr>
          <w:rFonts w:ascii="仿宋" w:hAnsi="仿宋" w:eastAsia="仿宋" w:cs="Times New Roman"/>
          <w:bCs/>
        </w:rPr>
      </w:pPr>
    </w:p>
    <w:p>
      <w:pPr>
        <w:rPr>
          <w:rFonts w:ascii="仿宋" w:hAnsi="仿宋" w:eastAsia="仿宋" w:cs="Times New Roman"/>
          <w:bCs/>
        </w:rPr>
        <w:sectPr>
          <w:pgSz w:w="16838" w:h="11906" w:orient="landscape"/>
          <w:pgMar w:top="1440" w:right="1800" w:bottom="1440" w:left="1800" w:header="680" w:footer="680" w:gutter="0"/>
          <w:cols w:space="425" w:num="1"/>
          <w:docGrid w:type="lines" w:linePitch="312" w:charSpace="0"/>
        </w:sectPr>
      </w:pPr>
    </w:p>
    <w:p>
      <w:pPr>
        <w:rPr>
          <w:rFonts w:ascii="仿宋" w:hAnsi="仿宋" w:eastAsia="仿宋" w:cs="Times New Roman"/>
          <w:b/>
          <w:sz w:val="30"/>
          <w:szCs w:val="30"/>
        </w:rPr>
      </w:pPr>
      <w:r>
        <w:rPr>
          <w:rFonts w:hint="eastAsia" w:ascii="仿宋" w:hAnsi="仿宋" w:eastAsia="仿宋" w:cs="Times New Roman"/>
          <w:b/>
          <w:sz w:val="30"/>
          <w:szCs w:val="30"/>
        </w:rPr>
        <w:t>二、附图</w:t>
      </w:r>
    </w:p>
    <w:p>
      <w:pPr>
        <w:rPr>
          <w:rFonts w:ascii="仿宋" w:hAnsi="仿宋" w:eastAsia="仿宋" w:cs="Times New Roman"/>
          <w:bCs/>
          <w:sz w:val="28"/>
          <w:szCs w:val="28"/>
        </w:rPr>
      </w:pPr>
      <w:r>
        <w:rPr>
          <w:rFonts w:ascii="仿宋" w:hAnsi="仿宋" w:eastAsia="仿宋" w:cs="Times New Roman"/>
          <w:bCs/>
          <w:sz w:val="28"/>
          <w:szCs w:val="28"/>
        </w:rPr>
        <w:t>1</w:t>
      </w:r>
      <w:r>
        <w:rPr>
          <w:rFonts w:hint="eastAsia" w:ascii="仿宋" w:hAnsi="仿宋" w:eastAsia="仿宋" w:cs="Times New Roman"/>
          <w:bCs/>
          <w:sz w:val="28"/>
          <w:szCs w:val="28"/>
        </w:rPr>
        <w:t>、</w:t>
      </w:r>
      <w:bookmarkStart w:id="72" w:name="_Hlk88991179"/>
      <w:r>
        <w:rPr>
          <w:rFonts w:hint="eastAsia" w:ascii="仿宋" w:hAnsi="仿宋" w:eastAsia="仿宋" w:cs="Times New Roman"/>
          <w:bCs/>
          <w:sz w:val="28"/>
          <w:szCs w:val="28"/>
        </w:rPr>
        <w:t>云和县高标准农田建设“十四五”</w:t>
      </w:r>
      <w:bookmarkEnd w:id="72"/>
      <w:r>
        <w:rPr>
          <w:rFonts w:hint="eastAsia" w:ascii="仿宋" w:hAnsi="仿宋" w:eastAsia="仿宋" w:cs="Times New Roman"/>
          <w:bCs/>
          <w:sz w:val="28"/>
          <w:szCs w:val="28"/>
        </w:rPr>
        <w:t>规划已建高标准农田分布图</w:t>
      </w:r>
    </w:p>
    <w:p>
      <w:pPr>
        <w:rPr>
          <w:rFonts w:ascii="仿宋" w:hAnsi="仿宋" w:eastAsia="仿宋" w:cs="Times New Roman"/>
          <w:bCs/>
          <w:sz w:val="28"/>
          <w:szCs w:val="28"/>
        </w:rPr>
      </w:pPr>
      <w:r>
        <w:rPr>
          <w:rFonts w:ascii="仿宋" w:hAnsi="仿宋" w:eastAsia="仿宋" w:cs="Times New Roman"/>
          <w:bCs/>
          <w:sz w:val="28"/>
          <w:szCs w:val="28"/>
        </w:rPr>
        <w:t>2</w:t>
      </w:r>
      <w:r>
        <w:rPr>
          <w:rFonts w:hint="eastAsia" w:ascii="仿宋" w:hAnsi="仿宋" w:eastAsia="仿宋" w:cs="Times New Roman"/>
          <w:bCs/>
          <w:sz w:val="28"/>
          <w:szCs w:val="28"/>
        </w:rPr>
        <w:t>、云和县高标准农田建设“十四五”规划建设潜力分布图</w:t>
      </w:r>
    </w:p>
    <w:p>
      <w:pPr>
        <w:rPr>
          <w:rFonts w:ascii="仿宋" w:hAnsi="仿宋" w:eastAsia="仿宋" w:cs="Times New Roman"/>
          <w:bCs/>
          <w:sz w:val="28"/>
          <w:szCs w:val="28"/>
        </w:rPr>
      </w:pPr>
      <w:r>
        <w:rPr>
          <w:rFonts w:ascii="仿宋" w:hAnsi="仿宋" w:eastAsia="仿宋" w:cs="Times New Roman"/>
          <w:bCs/>
          <w:sz w:val="28"/>
          <w:szCs w:val="28"/>
        </w:rPr>
        <w:t>3</w:t>
      </w:r>
      <w:r>
        <w:rPr>
          <w:rFonts w:hint="eastAsia" w:ascii="仿宋" w:hAnsi="仿宋" w:eastAsia="仿宋" w:cs="Times New Roman"/>
          <w:bCs/>
          <w:sz w:val="28"/>
          <w:szCs w:val="28"/>
        </w:rPr>
        <w:t>、云和县高标准农田建设“十四五”规划建设潜力分布图（乡镇）</w:t>
      </w:r>
    </w:p>
    <w:p>
      <w:pPr>
        <w:rPr>
          <w:rFonts w:ascii="仿宋" w:hAnsi="仿宋" w:eastAsia="仿宋"/>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Book Antiqua">
    <w:panose1 w:val="020406020503050303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tabs>
        <w:tab w:val="left" w:pos="5292"/>
      </w:tabs>
    </w:pPr>
    <w:r>
      <w:tab/>
    </w:r>
    <w:sdt>
      <w:sdtPr>
        <w:id w:val="34928750"/>
        <w:docPartObj>
          <w:docPartGallery w:val="autotext"/>
        </w:docPartObj>
      </w:sdtPr>
      <w:sdtContent>
        <w:r>
          <w:fldChar w:fldCharType="begin"/>
        </w:r>
        <w:r>
          <w:instrText xml:space="preserve">PAGE   \* MERGEFORMAT</w:instrText>
        </w:r>
        <w:r>
          <w:fldChar w:fldCharType="separate"/>
        </w:r>
        <w:r>
          <w:rPr>
            <w:lang w:val="zh-CN"/>
          </w:rPr>
          <w:t>2</w:t>
        </w:r>
        <w:r>
          <w:fldChar w:fldCharType="end"/>
        </w:r>
      </w:sdtContent>
    </w:sdt>
    <w:r>
      <w:tab/>
    </w:r>
  </w:p>
  <w:p>
    <w:pPr>
      <w:pStyle w:val="5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0033625"/>
      <w:docPartObj>
        <w:docPartGallery w:val="autotext"/>
      </w:docPartObj>
    </w:sdtPr>
    <w:sdtContent>
      <w:p>
        <w:pPr>
          <w:pStyle w:val="53"/>
          <w:jc w:val="center"/>
        </w:pPr>
        <w:r>
          <w:fldChar w:fldCharType="begin"/>
        </w:r>
        <w:r>
          <w:instrText xml:space="preserve">PAGE   \* MERGEFORMAT</w:instrText>
        </w:r>
        <w:r>
          <w:fldChar w:fldCharType="separate"/>
        </w:r>
        <w:r>
          <w:rPr>
            <w:lang w:val="zh-CN"/>
          </w:rPr>
          <w:t>2</w:t>
        </w:r>
        <w:r>
          <w:fldChar w:fldCharType="end"/>
        </w:r>
      </w:p>
    </w:sdtContent>
  </w:sdt>
  <w:p>
    <w:pPr>
      <w:pStyle w:val="5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rPr>
        <w:rFonts w:ascii="宋体" w:hAnsi="宋体"/>
      </w:rPr>
    </w:pPr>
    <w:r>
      <w:rPr>
        <w:rFonts w:hint="eastAsia"/>
      </w:rPr>
      <w:t>云和县高标准农田建设“十四五”规划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1"/>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5"/>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4"/>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4"/>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1"/>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38"/>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3"/>
      <w:lvlText w:val=""/>
      <w:lvlJc w:val="left"/>
      <w:pPr>
        <w:tabs>
          <w:tab w:val="left" w:pos="360"/>
        </w:tabs>
        <w:ind w:left="360" w:hanging="360" w:hangingChars="200"/>
      </w:pPr>
      <w:rPr>
        <w:rFonts w:hint="default" w:ascii="Wingdings" w:hAnsi="Wingdings"/>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TrueTypeFonts/>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3CC"/>
    <w:rsid w:val="0000279B"/>
    <w:rsid w:val="0003294A"/>
    <w:rsid w:val="00047F5E"/>
    <w:rsid w:val="00060643"/>
    <w:rsid w:val="00066A9F"/>
    <w:rsid w:val="000871F8"/>
    <w:rsid w:val="000930AC"/>
    <w:rsid w:val="000A53AF"/>
    <w:rsid w:val="000B56AB"/>
    <w:rsid w:val="000C4F0C"/>
    <w:rsid w:val="000C7CB2"/>
    <w:rsid w:val="000D3EDF"/>
    <w:rsid w:val="000D7CC1"/>
    <w:rsid w:val="000E31D3"/>
    <w:rsid w:val="000F2726"/>
    <w:rsid w:val="00110C43"/>
    <w:rsid w:val="00121E7F"/>
    <w:rsid w:val="001565AE"/>
    <w:rsid w:val="0016242C"/>
    <w:rsid w:val="00175A32"/>
    <w:rsid w:val="00190304"/>
    <w:rsid w:val="00194FEA"/>
    <w:rsid w:val="001967A0"/>
    <w:rsid w:val="001A5CBF"/>
    <w:rsid w:val="001A6A91"/>
    <w:rsid w:val="001A6E43"/>
    <w:rsid w:val="001B13C6"/>
    <w:rsid w:val="001B3532"/>
    <w:rsid w:val="001D1BDA"/>
    <w:rsid w:val="001F5E30"/>
    <w:rsid w:val="00217EE1"/>
    <w:rsid w:val="00241626"/>
    <w:rsid w:val="00254181"/>
    <w:rsid w:val="002564E6"/>
    <w:rsid w:val="002C4884"/>
    <w:rsid w:val="002E27E3"/>
    <w:rsid w:val="002E530C"/>
    <w:rsid w:val="002E6B1F"/>
    <w:rsid w:val="0030539E"/>
    <w:rsid w:val="003071E6"/>
    <w:rsid w:val="003171D4"/>
    <w:rsid w:val="003276CB"/>
    <w:rsid w:val="00360421"/>
    <w:rsid w:val="003615CB"/>
    <w:rsid w:val="003746B8"/>
    <w:rsid w:val="00381D1F"/>
    <w:rsid w:val="00382E73"/>
    <w:rsid w:val="00390EC2"/>
    <w:rsid w:val="0039135E"/>
    <w:rsid w:val="003A2FAB"/>
    <w:rsid w:val="003B444F"/>
    <w:rsid w:val="003E05AB"/>
    <w:rsid w:val="003F0556"/>
    <w:rsid w:val="003F2CDF"/>
    <w:rsid w:val="004122F7"/>
    <w:rsid w:val="00426BC2"/>
    <w:rsid w:val="00472E27"/>
    <w:rsid w:val="004849B1"/>
    <w:rsid w:val="00487810"/>
    <w:rsid w:val="004A390A"/>
    <w:rsid w:val="004B38E2"/>
    <w:rsid w:val="004B6BC1"/>
    <w:rsid w:val="004C29C8"/>
    <w:rsid w:val="004E6362"/>
    <w:rsid w:val="004F00DC"/>
    <w:rsid w:val="00500B5D"/>
    <w:rsid w:val="00501863"/>
    <w:rsid w:val="00503736"/>
    <w:rsid w:val="00505ADC"/>
    <w:rsid w:val="0055120A"/>
    <w:rsid w:val="0057606F"/>
    <w:rsid w:val="005825BB"/>
    <w:rsid w:val="005944B4"/>
    <w:rsid w:val="00595827"/>
    <w:rsid w:val="005A3756"/>
    <w:rsid w:val="005A56CE"/>
    <w:rsid w:val="005A770E"/>
    <w:rsid w:val="005B1386"/>
    <w:rsid w:val="005B455F"/>
    <w:rsid w:val="005B5351"/>
    <w:rsid w:val="005C6E7F"/>
    <w:rsid w:val="005D1ABF"/>
    <w:rsid w:val="005F09BB"/>
    <w:rsid w:val="005F4007"/>
    <w:rsid w:val="005F404E"/>
    <w:rsid w:val="006222B6"/>
    <w:rsid w:val="006346F0"/>
    <w:rsid w:val="0063580D"/>
    <w:rsid w:val="006364C9"/>
    <w:rsid w:val="00650AF6"/>
    <w:rsid w:val="006554C7"/>
    <w:rsid w:val="00671DAA"/>
    <w:rsid w:val="00676CB4"/>
    <w:rsid w:val="00684140"/>
    <w:rsid w:val="00690854"/>
    <w:rsid w:val="006B0836"/>
    <w:rsid w:val="006E3D99"/>
    <w:rsid w:val="006F3919"/>
    <w:rsid w:val="007142C4"/>
    <w:rsid w:val="00730041"/>
    <w:rsid w:val="00753D39"/>
    <w:rsid w:val="0076315A"/>
    <w:rsid w:val="0077164A"/>
    <w:rsid w:val="0078523C"/>
    <w:rsid w:val="007931E4"/>
    <w:rsid w:val="007960EC"/>
    <w:rsid w:val="007A5498"/>
    <w:rsid w:val="007C2A7E"/>
    <w:rsid w:val="007F5268"/>
    <w:rsid w:val="008067C4"/>
    <w:rsid w:val="0081479B"/>
    <w:rsid w:val="00823231"/>
    <w:rsid w:val="00833AA7"/>
    <w:rsid w:val="008358E5"/>
    <w:rsid w:val="0083593D"/>
    <w:rsid w:val="0084291D"/>
    <w:rsid w:val="008526D6"/>
    <w:rsid w:val="00853848"/>
    <w:rsid w:val="008766FD"/>
    <w:rsid w:val="00881BAC"/>
    <w:rsid w:val="00893B14"/>
    <w:rsid w:val="008A7ACE"/>
    <w:rsid w:val="008B335C"/>
    <w:rsid w:val="008B46EB"/>
    <w:rsid w:val="008D1132"/>
    <w:rsid w:val="008E73BE"/>
    <w:rsid w:val="008F259F"/>
    <w:rsid w:val="008F5FCA"/>
    <w:rsid w:val="009110C6"/>
    <w:rsid w:val="0091755C"/>
    <w:rsid w:val="009265CA"/>
    <w:rsid w:val="00937CDA"/>
    <w:rsid w:val="00937D0E"/>
    <w:rsid w:val="00941AB9"/>
    <w:rsid w:val="0094283D"/>
    <w:rsid w:val="00942B78"/>
    <w:rsid w:val="00945D45"/>
    <w:rsid w:val="00950F87"/>
    <w:rsid w:val="009666EC"/>
    <w:rsid w:val="00976A66"/>
    <w:rsid w:val="00990054"/>
    <w:rsid w:val="009A7A77"/>
    <w:rsid w:val="009B5550"/>
    <w:rsid w:val="009B5A7A"/>
    <w:rsid w:val="009D6A0C"/>
    <w:rsid w:val="009E7C81"/>
    <w:rsid w:val="009F75E9"/>
    <w:rsid w:val="00A01794"/>
    <w:rsid w:val="00A06EF6"/>
    <w:rsid w:val="00A2309C"/>
    <w:rsid w:val="00A24BD3"/>
    <w:rsid w:val="00A2797E"/>
    <w:rsid w:val="00A42489"/>
    <w:rsid w:val="00A4256C"/>
    <w:rsid w:val="00A52181"/>
    <w:rsid w:val="00A55350"/>
    <w:rsid w:val="00A67BDB"/>
    <w:rsid w:val="00A728A9"/>
    <w:rsid w:val="00A737A7"/>
    <w:rsid w:val="00A748DA"/>
    <w:rsid w:val="00A87245"/>
    <w:rsid w:val="00AA4C72"/>
    <w:rsid w:val="00AC27CB"/>
    <w:rsid w:val="00AD2865"/>
    <w:rsid w:val="00AF5CD8"/>
    <w:rsid w:val="00B03C58"/>
    <w:rsid w:val="00B0619D"/>
    <w:rsid w:val="00B3655D"/>
    <w:rsid w:val="00B4231E"/>
    <w:rsid w:val="00B43EBF"/>
    <w:rsid w:val="00B63C3B"/>
    <w:rsid w:val="00BB7E40"/>
    <w:rsid w:val="00BC2277"/>
    <w:rsid w:val="00BC64B2"/>
    <w:rsid w:val="00BD6FEF"/>
    <w:rsid w:val="00BF6F0B"/>
    <w:rsid w:val="00C0047F"/>
    <w:rsid w:val="00C06AD5"/>
    <w:rsid w:val="00C21875"/>
    <w:rsid w:val="00C22055"/>
    <w:rsid w:val="00C504ED"/>
    <w:rsid w:val="00C66B3D"/>
    <w:rsid w:val="00C66EA0"/>
    <w:rsid w:val="00C7331E"/>
    <w:rsid w:val="00C872CF"/>
    <w:rsid w:val="00D22E24"/>
    <w:rsid w:val="00D32260"/>
    <w:rsid w:val="00D659FF"/>
    <w:rsid w:val="00D853DB"/>
    <w:rsid w:val="00D9039B"/>
    <w:rsid w:val="00D93383"/>
    <w:rsid w:val="00D97726"/>
    <w:rsid w:val="00DA4034"/>
    <w:rsid w:val="00DB3771"/>
    <w:rsid w:val="00DC6411"/>
    <w:rsid w:val="00DC77D7"/>
    <w:rsid w:val="00E216EA"/>
    <w:rsid w:val="00E21764"/>
    <w:rsid w:val="00E217CB"/>
    <w:rsid w:val="00E26897"/>
    <w:rsid w:val="00E27D73"/>
    <w:rsid w:val="00E3409E"/>
    <w:rsid w:val="00E742FF"/>
    <w:rsid w:val="00E94172"/>
    <w:rsid w:val="00EB4636"/>
    <w:rsid w:val="00F020AE"/>
    <w:rsid w:val="00F12B51"/>
    <w:rsid w:val="00F17048"/>
    <w:rsid w:val="00F34720"/>
    <w:rsid w:val="00F5523A"/>
    <w:rsid w:val="00F71EF5"/>
    <w:rsid w:val="00F77FC8"/>
    <w:rsid w:val="00F91869"/>
    <w:rsid w:val="00F94635"/>
    <w:rsid w:val="00F9471D"/>
    <w:rsid w:val="00F94E5A"/>
    <w:rsid w:val="00F953CC"/>
    <w:rsid w:val="00FB127D"/>
    <w:rsid w:val="00FB5D6D"/>
    <w:rsid w:val="00FD242B"/>
    <w:rsid w:val="00FD5A52"/>
    <w:rsid w:val="00FF2FBB"/>
    <w:rsid w:val="49000996"/>
    <w:rsid w:val="BBD339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semiHidden="0" w:name="toc 1"/>
    <w:lsdException w:qFormat="1" w:uiPriority="39" w:semiHidden="0"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name="table of figures"/>
    <w:lsdException w:qFormat="1" w:uiPriority="99" w:name="envelope address"/>
    <w:lsdException w:qFormat="1"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qFormat="1" w:uiPriority="99" w:name="endnote text"/>
    <w:lsdException w:qFormat="1" w:uiPriority="99" w:name="table of authorities"/>
    <w:lsdException w:qFormat="1" w:uiPriority="99" w:name="macro"/>
    <w:lsdException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uiPriority="1" w:name="Default Paragraph Font"/>
    <w:lsdException w:qFormat="1" w:unhideWhenUsed="0" w:uiPriority="1" w:semiHidden="0"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9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24"/>
    <w:semiHidden/>
    <w:unhideWhenUsed/>
    <w:qFormat/>
    <w:uiPriority w:val="9"/>
    <w:pPr>
      <w:keepNext/>
      <w:keepLines/>
      <w:spacing w:before="260" w:after="260" w:line="416" w:lineRule="auto"/>
      <w:outlineLvl w:val="1"/>
    </w:pPr>
    <w:rPr>
      <w:rFonts w:ascii="Calibri Light" w:hAnsi="Calibri Light" w:eastAsia="宋体" w:cs="Times New Roman"/>
      <w:b/>
      <w:bCs/>
      <w:sz w:val="32"/>
      <w:szCs w:val="32"/>
    </w:rPr>
  </w:style>
  <w:style w:type="paragraph" w:styleId="5">
    <w:name w:val="heading 3"/>
    <w:basedOn w:val="1"/>
    <w:next w:val="1"/>
    <w:link w:val="97"/>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104"/>
    <w:semiHidden/>
    <w:unhideWhenUsed/>
    <w:qFormat/>
    <w:uiPriority w:val="9"/>
    <w:pPr>
      <w:keepNext/>
      <w:keepLines/>
      <w:spacing w:before="280" w:after="290" w:line="376" w:lineRule="auto"/>
      <w:outlineLvl w:val="3"/>
    </w:pPr>
    <w:rPr>
      <w:rFonts w:ascii="Calibri Light" w:hAnsi="Calibri Light" w:eastAsia="宋体" w:cs="Times New Roman"/>
      <w:b/>
      <w:bCs/>
      <w:sz w:val="28"/>
      <w:szCs w:val="28"/>
    </w:rPr>
  </w:style>
  <w:style w:type="paragraph" w:styleId="7">
    <w:name w:val="heading 5"/>
    <w:basedOn w:val="1"/>
    <w:next w:val="1"/>
    <w:link w:val="99"/>
    <w:semiHidden/>
    <w:unhideWhenUsed/>
    <w:qFormat/>
    <w:uiPriority w:val="9"/>
    <w:pPr>
      <w:keepNext/>
      <w:keepLines/>
      <w:spacing w:before="280" w:after="290" w:line="376" w:lineRule="auto"/>
      <w:outlineLvl w:val="4"/>
    </w:pPr>
    <w:rPr>
      <w:b/>
      <w:bCs/>
      <w:sz w:val="28"/>
      <w:szCs w:val="28"/>
    </w:rPr>
  </w:style>
  <w:style w:type="paragraph" w:styleId="8">
    <w:name w:val="heading 6"/>
    <w:basedOn w:val="1"/>
    <w:next w:val="1"/>
    <w:link w:val="130"/>
    <w:semiHidden/>
    <w:unhideWhenUsed/>
    <w:qFormat/>
    <w:uiPriority w:val="9"/>
    <w:pPr>
      <w:keepNext/>
      <w:keepLines/>
      <w:spacing w:before="240" w:after="64" w:line="320" w:lineRule="auto"/>
      <w:outlineLvl w:val="5"/>
    </w:pPr>
    <w:rPr>
      <w:rFonts w:ascii="Calibri Light" w:hAnsi="Calibri Light" w:eastAsia="宋体" w:cs="Times New Roman"/>
      <w:b/>
      <w:bCs/>
      <w:sz w:val="24"/>
      <w:szCs w:val="24"/>
    </w:rPr>
  </w:style>
  <w:style w:type="paragraph" w:styleId="9">
    <w:name w:val="heading 7"/>
    <w:basedOn w:val="1"/>
    <w:next w:val="1"/>
    <w:link w:val="101"/>
    <w:semiHidden/>
    <w:unhideWhenUsed/>
    <w:qFormat/>
    <w:uiPriority w:val="9"/>
    <w:pPr>
      <w:keepNext/>
      <w:keepLines/>
      <w:spacing w:before="240" w:after="64" w:line="320" w:lineRule="auto"/>
      <w:outlineLvl w:val="6"/>
    </w:pPr>
    <w:rPr>
      <w:b/>
      <w:bCs/>
      <w:sz w:val="24"/>
      <w:szCs w:val="24"/>
    </w:rPr>
  </w:style>
  <w:style w:type="paragraph" w:styleId="10">
    <w:name w:val="heading 8"/>
    <w:basedOn w:val="1"/>
    <w:next w:val="1"/>
    <w:link w:val="131"/>
    <w:semiHidden/>
    <w:unhideWhenUsed/>
    <w:qFormat/>
    <w:uiPriority w:val="9"/>
    <w:pPr>
      <w:keepNext/>
      <w:keepLines/>
      <w:spacing w:before="240" w:after="64" w:line="320" w:lineRule="auto"/>
      <w:outlineLvl w:val="7"/>
    </w:pPr>
    <w:rPr>
      <w:rFonts w:ascii="Calibri Light" w:hAnsi="Calibri Light" w:eastAsia="宋体" w:cs="Times New Roman"/>
      <w:sz w:val="24"/>
      <w:szCs w:val="24"/>
    </w:rPr>
  </w:style>
  <w:style w:type="paragraph" w:styleId="11">
    <w:name w:val="heading 9"/>
    <w:basedOn w:val="1"/>
    <w:next w:val="1"/>
    <w:link w:val="132"/>
    <w:semiHidden/>
    <w:unhideWhenUsed/>
    <w:qFormat/>
    <w:uiPriority w:val="9"/>
    <w:pPr>
      <w:keepNext/>
      <w:keepLines/>
      <w:spacing w:before="240" w:after="64" w:line="320" w:lineRule="auto"/>
      <w:outlineLvl w:val="8"/>
    </w:pPr>
    <w:rPr>
      <w:rFonts w:ascii="Calibri Light" w:hAnsi="Calibri Light" w:eastAsia="宋体" w:cs="Times New Roman"/>
      <w:szCs w:val="21"/>
    </w:rPr>
  </w:style>
  <w:style w:type="character" w:default="1" w:styleId="87">
    <w:name w:val="Default Paragraph Font"/>
    <w:semiHidden/>
    <w:unhideWhenUsed/>
    <w:uiPriority w:val="1"/>
  </w:style>
  <w:style w:type="table" w:default="1" w:styleId="85">
    <w:name w:val="Normal Table"/>
    <w:semiHidden/>
    <w:unhideWhenUsed/>
    <w:qFormat/>
    <w:uiPriority w:val="99"/>
    <w:tblPr>
      <w:tblCellMar>
        <w:top w:w="0" w:type="dxa"/>
        <w:left w:w="108" w:type="dxa"/>
        <w:bottom w:w="0" w:type="dxa"/>
        <w:right w:w="108" w:type="dxa"/>
      </w:tblCellMar>
    </w:tblPr>
  </w:style>
  <w:style w:type="paragraph" w:styleId="2">
    <w:name w:val="macro"/>
    <w:link w:val="138"/>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qFormat/>
    <w:uiPriority w:val="99"/>
    <w:pPr>
      <w:ind w:left="100" w:leftChars="400" w:hanging="200" w:hangingChars="200"/>
      <w:contextualSpacing/>
    </w:pPr>
  </w:style>
  <w:style w:type="paragraph" w:styleId="13">
    <w:name w:val="toc 7"/>
    <w:basedOn w:val="1"/>
    <w:next w:val="1"/>
    <w:semiHidden/>
    <w:unhideWhenUsed/>
    <w:qFormat/>
    <w:uiPriority w:val="39"/>
    <w:pPr>
      <w:ind w:left="2520" w:leftChars="1200"/>
    </w:pPr>
  </w:style>
  <w:style w:type="paragraph" w:styleId="14">
    <w:name w:val="List Number 2"/>
    <w:basedOn w:val="1"/>
    <w:semiHidden/>
    <w:unhideWhenUsed/>
    <w:qFormat/>
    <w:uiPriority w:val="99"/>
    <w:pPr>
      <w:numPr>
        <w:ilvl w:val="0"/>
        <w:numId w:val="1"/>
      </w:numPr>
      <w:contextualSpacing/>
    </w:pPr>
  </w:style>
  <w:style w:type="paragraph" w:styleId="15">
    <w:name w:val="table of authorities"/>
    <w:basedOn w:val="1"/>
    <w:next w:val="1"/>
    <w:semiHidden/>
    <w:unhideWhenUsed/>
    <w:qFormat/>
    <w:uiPriority w:val="99"/>
    <w:pPr>
      <w:ind w:left="420" w:leftChars="200"/>
    </w:pPr>
  </w:style>
  <w:style w:type="paragraph" w:styleId="16">
    <w:name w:val="Note Heading"/>
    <w:basedOn w:val="1"/>
    <w:next w:val="1"/>
    <w:link w:val="169"/>
    <w:semiHidden/>
    <w:unhideWhenUsed/>
    <w:qFormat/>
    <w:uiPriority w:val="99"/>
    <w:pPr>
      <w:jc w:val="center"/>
    </w:pPr>
  </w:style>
  <w:style w:type="paragraph" w:styleId="17">
    <w:name w:val="List Bullet 4"/>
    <w:basedOn w:val="1"/>
    <w:semiHidden/>
    <w:unhideWhenUsed/>
    <w:qFormat/>
    <w:uiPriority w:val="99"/>
    <w:pPr>
      <w:numPr>
        <w:ilvl w:val="0"/>
        <w:numId w:val="2"/>
      </w:numPr>
      <w:contextualSpacing/>
    </w:pPr>
  </w:style>
  <w:style w:type="paragraph" w:styleId="18">
    <w:name w:val="index 8"/>
    <w:basedOn w:val="1"/>
    <w:next w:val="1"/>
    <w:semiHidden/>
    <w:unhideWhenUsed/>
    <w:qFormat/>
    <w:uiPriority w:val="99"/>
    <w:pPr>
      <w:ind w:left="1400" w:leftChars="1400"/>
    </w:pPr>
  </w:style>
  <w:style w:type="paragraph" w:styleId="19">
    <w:name w:val="E-mail Signature"/>
    <w:basedOn w:val="1"/>
    <w:link w:val="136"/>
    <w:semiHidden/>
    <w:unhideWhenUsed/>
    <w:qFormat/>
    <w:uiPriority w:val="99"/>
  </w:style>
  <w:style w:type="paragraph" w:styleId="20">
    <w:name w:val="List Number"/>
    <w:basedOn w:val="1"/>
    <w:semiHidden/>
    <w:unhideWhenUsed/>
    <w:qFormat/>
    <w:uiPriority w:val="99"/>
    <w:pPr>
      <w:numPr>
        <w:ilvl w:val="0"/>
        <w:numId w:val="3"/>
      </w:numPr>
      <w:contextualSpacing/>
    </w:pPr>
  </w:style>
  <w:style w:type="paragraph" w:styleId="21">
    <w:name w:val="Normal Indent"/>
    <w:basedOn w:val="1"/>
    <w:semiHidden/>
    <w:unhideWhenUsed/>
    <w:qFormat/>
    <w:uiPriority w:val="99"/>
    <w:pPr>
      <w:ind w:firstLine="420" w:firstLineChars="200"/>
    </w:pPr>
  </w:style>
  <w:style w:type="paragraph" w:styleId="22">
    <w:name w:val="index 5"/>
    <w:basedOn w:val="1"/>
    <w:next w:val="1"/>
    <w:semiHidden/>
    <w:unhideWhenUsed/>
    <w:qFormat/>
    <w:uiPriority w:val="99"/>
    <w:pPr>
      <w:ind w:left="800" w:leftChars="800"/>
    </w:pPr>
  </w:style>
  <w:style w:type="paragraph" w:styleId="23">
    <w:name w:val="List Bullet"/>
    <w:basedOn w:val="1"/>
    <w:semiHidden/>
    <w:unhideWhenUsed/>
    <w:qFormat/>
    <w:uiPriority w:val="99"/>
    <w:pPr>
      <w:numPr>
        <w:ilvl w:val="0"/>
        <w:numId w:val="4"/>
      </w:numPr>
      <w:contextualSpacing/>
    </w:pPr>
  </w:style>
  <w:style w:type="paragraph" w:styleId="24">
    <w:name w:val="envelope address"/>
    <w:basedOn w:val="1"/>
    <w:semiHidden/>
    <w:unhideWhenUsed/>
    <w:qFormat/>
    <w:uiPriority w:val="99"/>
    <w:pPr>
      <w:framePr w:w="7920" w:h="1980" w:hRule="exact" w:hSpace="180" w:wrap="auto" w:vAnchor="margin" w:hAnchor="page" w:xAlign="center" w:yAlign="bottom"/>
      <w:snapToGrid w:val="0"/>
      <w:ind w:left="100" w:leftChars="1400"/>
    </w:pPr>
    <w:rPr>
      <w:rFonts w:asciiTheme="majorHAnsi" w:hAnsiTheme="majorHAnsi" w:eastAsiaTheme="majorEastAsia" w:cstheme="majorBidi"/>
      <w:sz w:val="24"/>
      <w:szCs w:val="24"/>
    </w:rPr>
  </w:style>
  <w:style w:type="paragraph" w:styleId="25">
    <w:name w:val="Document Map"/>
    <w:basedOn w:val="1"/>
    <w:link w:val="152"/>
    <w:semiHidden/>
    <w:unhideWhenUsed/>
    <w:qFormat/>
    <w:uiPriority w:val="99"/>
    <w:rPr>
      <w:rFonts w:ascii="Microsoft YaHei UI" w:eastAsia="Microsoft YaHei UI"/>
      <w:sz w:val="18"/>
      <w:szCs w:val="18"/>
    </w:rPr>
  </w:style>
  <w:style w:type="paragraph" w:styleId="26">
    <w:name w:val="annotation text"/>
    <w:basedOn w:val="1"/>
    <w:link w:val="122"/>
    <w:semiHidden/>
    <w:unhideWhenUsed/>
    <w:qFormat/>
    <w:uiPriority w:val="99"/>
    <w:pPr>
      <w:jc w:val="left"/>
    </w:pPr>
  </w:style>
  <w:style w:type="paragraph" w:styleId="27">
    <w:name w:val="index 6"/>
    <w:basedOn w:val="1"/>
    <w:next w:val="1"/>
    <w:semiHidden/>
    <w:unhideWhenUsed/>
    <w:qFormat/>
    <w:uiPriority w:val="99"/>
    <w:pPr>
      <w:ind w:left="1000" w:leftChars="1000"/>
    </w:pPr>
  </w:style>
  <w:style w:type="paragraph" w:styleId="28">
    <w:name w:val="Salutation"/>
    <w:basedOn w:val="1"/>
    <w:next w:val="1"/>
    <w:link w:val="133"/>
    <w:semiHidden/>
    <w:unhideWhenUsed/>
    <w:qFormat/>
    <w:uiPriority w:val="99"/>
  </w:style>
  <w:style w:type="paragraph" w:styleId="29">
    <w:name w:val="Body Text 3"/>
    <w:basedOn w:val="1"/>
    <w:link w:val="162"/>
    <w:semiHidden/>
    <w:unhideWhenUsed/>
    <w:qFormat/>
    <w:uiPriority w:val="99"/>
    <w:pPr>
      <w:spacing w:after="120"/>
    </w:pPr>
    <w:rPr>
      <w:sz w:val="16"/>
      <w:szCs w:val="16"/>
    </w:rPr>
  </w:style>
  <w:style w:type="paragraph" w:styleId="30">
    <w:name w:val="Closing"/>
    <w:basedOn w:val="1"/>
    <w:link w:val="141"/>
    <w:semiHidden/>
    <w:unhideWhenUsed/>
    <w:qFormat/>
    <w:uiPriority w:val="99"/>
    <w:pPr>
      <w:ind w:left="100" w:leftChars="2100"/>
    </w:pPr>
  </w:style>
  <w:style w:type="paragraph" w:styleId="31">
    <w:name w:val="List Bullet 3"/>
    <w:basedOn w:val="1"/>
    <w:semiHidden/>
    <w:unhideWhenUsed/>
    <w:qFormat/>
    <w:uiPriority w:val="99"/>
    <w:pPr>
      <w:numPr>
        <w:ilvl w:val="0"/>
        <w:numId w:val="5"/>
      </w:numPr>
      <w:contextualSpacing/>
    </w:pPr>
  </w:style>
  <w:style w:type="paragraph" w:styleId="32">
    <w:name w:val="Body Text"/>
    <w:basedOn w:val="1"/>
    <w:link w:val="120"/>
    <w:qFormat/>
    <w:uiPriority w:val="1"/>
    <w:pPr>
      <w:autoSpaceDE w:val="0"/>
      <w:autoSpaceDN w:val="0"/>
      <w:jc w:val="left"/>
    </w:pPr>
    <w:rPr>
      <w:rFonts w:ascii="宋体" w:hAnsi="宋体" w:eastAsia="宋体" w:cs="宋体"/>
      <w:kern w:val="0"/>
      <w:sz w:val="19"/>
      <w:szCs w:val="19"/>
      <w:lang w:eastAsia="en-US"/>
    </w:rPr>
  </w:style>
  <w:style w:type="paragraph" w:styleId="33">
    <w:name w:val="Body Text Indent"/>
    <w:basedOn w:val="1"/>
    <w:link w:val="165"/>
    <w:semiHidden/>
    <w:unhideWhenUsed/>
    <w:qFormat/>
    <w:uiPriority w:val="99"/>
    <w:pPr>
      <w:spacing w:after="120"/>
      <w:ind w:left="420" w:leftChars="200"/>
    </w:pPr>
  </w:style>
  <w:style w:type="paragraph" w:styleId="34">
    <w:name w:val="List Number 3"/>
    <w:basedOn w:val="1"/>
    <w:semiHidden/>
    <w:unhideWhenUsed/>
    <w:qFormat/>
    <w:uiPriority w:val="99"/>
    <w:pPr>
      <w:numPr>
        <w:ilvl w:val="0"/>
        <w:numId w:val="6"/>
      </w:numPr>
      <w:contextualSpacing/>
    </w:pPr>
  </w:style>
  <w:style w:type="paragraph" w:styleId="35">
    <w:name w:val="List 2"/>
    <w:basedOn w:val="1"/>
    <w:semiHidden/>
    <w:unhideWhenUsed/>
    <w:qFormat/>
    <w:uiPriority w:val="99"/>
    <w:pPr>
      <w:ind w:left="100" w:leftChars="200" w:hanging="200" w:hangingChars="200"/>
      <w:contextualSpacing/>
    </w:pPr>
  </w:style>
  <w:style w:type="paragraph" w:styleId="36">
    <w:name w:val="List Continue"/>
    <w:basedOn w:val="1"/>
    <w:semiHidden/>
    <w:unhideWhenUsed/>
    <w:qFormat/>
    <w:uiPriority w:val="99"/>
    <w:pPr>
      <w:spacing w:after="120"/>
      <w:ind w:left="420" w:leftChars="200"/>
      <w:contextualSpacing/>
    </w:pPr>
  </w:style>
  <w:style w:type="paragraph" w:styleId="37">
    <w:name w:val="Block Text"/>
    <w:basedOn w:val="1"/>
    <w:semiHidden/>
    <w:unhideWhenUsed/>
    <w:qFormat/>
    <w:uiPriority w:val="99"/>
    <w:pPr>
      <w:spacing w:after="120"/>
      <w:ind w:left="1440" w:leftChars="700" w:right="1440" w:rightChars="700"/>
    </w:pPr>
  </w:style>
  <w:style w:type="paragraph" w:styleId="38">
    <w:name w:val="List Bullet 2"/>
    <w:basedOn w:val="1"/>
    <w:semiHidden/>
    <w:unhideWhenUsed/>
    <w:qFormat/>
    <w:uiPriority w:val="99"/>
    <w:pPr>
      <w:numPr>
        <w:ilvl w:val="0"/>
        <w:numId w:val="7"/>
      </w:numPr>
      <w:contextualSpacing/>
    </w:pPr>
  </w:style>
  <w:style w:type="paragraph" w:styleId="39">
    <w:name w:val="HTML Address"/>
    <w:basedOn w:val="1"/>
    <w:link w:val="125"/>
    <w:semiHidden/>
    <w:unhideWhenUsed/>
    <w:qFormat/>
    <w:uiPriority w:val="99"/>
    <w:rPr>
      <w:i/>
      <w:iCs/>
    </w:rPr>
  </w:style>
  <w:style w:type="paragraph" w:styleId="40">
    <w:name w:val="index 4"/>
    <w:basedOn w:val="1"/>
    <w:next w:val="1"/>
    <w:semiHidden/>
    <w:unhideWhenUsed/>
    <w:qFormat/>
    <w:uiPriority w:val="99"/>
    <w:pPr>
      <w:ind w:left="600" w:leftChars="600"/>
    </w:pPr>
  </w:style>
  <w:style w:type="paragraph" w:styleId="41">
    <w:name w:val="toc 5"/>
    <w:basedOn w:val="1"/>
    <w:next w:val="1"/>
    <w:semiHidden/>
    <w:unhideWhenUsed/>
    <w:qFormat/>
    <w:uiPriority w:val="39"/>
    <w:pPr>
      <w:ind w:left="1680" w:leftChars="800"/>
    </w:pPr>
  </w:style>
  <w:style w:type="paragraph" w:styleId="42">
    <w:name w:val="toc 3"/>
    <w:basedOn w:val="1"/>
    <w:next w:val="1"/>
    <w:semiHidden/>
    <w:unhideWhenUsed/>
    <w:qFormat/>
    <w:uiPriority w:val="39"/>
    <w:pPr>
      <w:ind w:left="840" w:leftChars="400"/>
    </w:pPr>
  </w:style>
  <w:style w:type="paragraph" w:styleId="43">
    <w:name w:val="Plain Text"/>
    <w:basedOn w:val="1"/>
    <w:link w:val="177"/>
    <w:semiHidden/>
    <w:unhideWhenUsed/>
    <w:qFormat/>
    <w:uiPriority w:val="99"/>
    <w:rPr>
      <w:rFonts w:hAnsi="Courier New" w:cs="Courier New" w:asciiTheme="minorEastAsia"/>
    </w:rPr>
  </w:style>
  <w:style w:type="paragraph" w:styleId="44">
    <w:name w:val="List Bullet 5"/>
    <w:basedOn w:val="1"/>
    <w:semiHidden/>
    <w:unhideWhenUsed/>
    <w:qFormat/>
    <w:uiPriority w:val="99"/>
    <w:pPr>
      <w:numPr>
        <w:ilvl w:val="0"/>
        <w:numId w:val="8"/>
      </w:numPr>
      <w:contextualSpacing/>
    </w:pPr>
  </w:style>
  <w:style w:type="paragraph" w:styleId="45">
    <w:name w:val="List Number 4"/>
    <w:basedOn w:val="1"/>
    <w:semiHidden/>
    <w:unhideWhenUsed/>
    <w:qFormat/>
    <w:uiPriority w:val="99"/>
    <w:pPr>
      <w:numPr>
        <w:ilvl w:val="0"/>
        <w:numId w:val="9"/>
      </w:numPr>
      <w:contextualSpacing/>
    </w:pPr>
  </w:style>
  <w:style w:type="paragraph" w:styleId="46">
    <w:name w:val="toc 8"/>
    <w:basedOn w:val="1"/>
    <w:next w:val="1"/>
    <w:semiHidden/>
    <w:unhideWhenUsed/>
    <w:qFormat/>
    <w:uiPriority w:val="39"/>
    <w:pPr>
      <w:ind w:left="2940" w:leftChars="1400"/>
    </w:pPr>
  </w:style>
  <w:style w:type="paragraph" w:styleId="47">
    <w:name w:val="index 3"/>
    <w:basedOn w:val="1"/>
    <w:next w:val="1"/>
    <w:semiHidden/>
    <w:unhideWhenUsed/>
    <w:qFormat/>
    <w:uiPriority w:val="99"/>
    <w:pPr>
      <w:ind w:left="400" w:leftChars="400"/>
    </w:pPr>
  </w:style>
  <w:style w:type="paragraph" w:styleId="48">
    <w:name w:val="Date"/>
    <w:basedOn w:val="1"/>
    <w:next w:val="1"/>
    <w:link w:val="119"/>
    <w:semiHidden/>
    <w:unhideWhenUsed/>
    <w:qFormat/>
    <w:uiPriority w:val="99"/>
    <w:pPr>
      <w:ind w:left="100" w:leftChars="2500"/>
    </w:pPr>
  </w:style>
  <w:style w:type="paragraph" w:styleId="49">
    <w:name w:val="Body Text Indent 2"/>
    <w:basedOn w:val="1"/>
    <w:link w:val="167"/>
    <w:semiHidden/>
    <w:unhideWhenUsed/>
    <w:qFormat/>
    <w:uiPriority w:val="99"/>
    <w:pPr>
      <w:spacing w:after="120" w:line="480" w:lineRule="auto"/>
      <w:ind w:left="420" w:leftChars="200"/>
    </w:pPr>
  </w:style>
  <w:style w:type="paragraph" w:styleId="50">
    <w:name w:val="endnote text"/>
    <w:basedOn w:val="1"/>
    <w:link w:val="151"/>
    <w:semiHidden/>
    <w:unhideWhenUsed/>
    <w:qFormat/>
    <w:uiPriority w:val="99"/>
    <w:pPr>
      <w:snapToGrid w:val="0"/>
      <w:jc w:val="left"/>
    </w:pPr>
  </w:style>
  <w:style w:type="paragraph" w:styleId="51">
    <w:name w:val="List Continue 5"/>
    <w:basedOn w:val="1"/>
    <w:semiHidden/>
    <w:unhideWhenUsed/>
    <w:qFormat/>
    <w:uiPriority w:val="99"/>
    <w:pPr>
      <w:spacing w:after="120"/>
      <w:ind w:left="2100" w:leftChars="1000"/>
      <w:contextualSpacing/>
    </w:pPr>
  </w:style>
  <w:style w:type="paragraph" w:styleId="52">
    <w:name w:val="Balloon Text"/>
    <w:basedOn w:val="1"/>
    <w:link w:val="145"/>
    <w:semiHidden/>
    <w:unhideWhenUsed/>
    <w:qFormat/>
    <w:uiPriority w:val="99"/>
    <w:rPr>
      <w:sz w:val="18"/>
      <w:szCs w:val="18"/>
    </w:rPr>
  </w:style>
  <w:style w:type="paragraph" w:styleId="53">
    <w:name w:val="footer"/>
    <w:basedOn w:val="1"/>
    <w:link w:val="94"/>
    <w:unhideWhenUsed/>
    <w:qFormat/>
    <w:uiPriority w:val="99"/>
    <w:pPr>
      <w:tabs>
        <w:tab w:val="center" w:pos="4153"/>
        <w:tab w:val="right" w:pos="8306"/>
      </w:tabs>
      <w:snapToGrid w:val="0"/>
      <w:jc w:val="left"/>
    </w:pPr>
    <w:rPr>
      <w:sz w:val="18"/>
      <w:szCs w:val="18"/>
    </w:rPr>
  </w:style>
  <w:style w:type="paragraph" w:styleId="54">
    <w:name w:val="envelope return"/>
    <w:basedOn w:val="1"/>
    <w:semiHidden/>
    <w:unhideWhenUsed/>
    <w:qFormat/>
    <w:uiPriority w:val="99"/>
    <w:pPr>
      <w:snapToGrid w:val="0"/>
    </w:pPr>
    <w:rPr>
      <w:rFonts w:asciiTheme="majorHAnsi" w:hAnsiTheme="majorHAnsi" w:eastAsiaTheme="majorEastAsia" w:cstheme="majorBidi"/>
    </w:rPr>
  </w:style>
  <w:style w:type="paragraph" w:styleId="55">
    <w:name w:val="header"/>
    <w:basedOn w:val="1"/>
    <w:link w:val="93"/>
    <w:unhideWhenUsed/>
    <w:qFormat/>
    <w:uiPriority w:val="99"/>
    <w:pPr>
      <w:pBdr>
        <w:bottom w:val="single" w:color="auto" w:sz="6" w:space="1"/>
      </w:pBdr>
      <w:tabs>
        <w:tab w:val="center" w:pos="4153"/>
        <w:tab w:val="right" w:pos="8306"/>
      </w:tabs>
      <w:snapToGrid w:val="0"/>
      <w:jc w:val="center"/>
    </w:pPr>
    <w:rPr>
      <w:sz w:val="18"/>
      <w:szCs w:val="18"/>
    </w:rPr>
  </w:style>
  <w:style w:type="paragraph" w:styleId="56">
    <w:name w:val="Signature"/>
    <w:basedOn w:val="1"/>
    <w:link w:val="146"/>
    <w:semiHidden/>
    <w:unhideWhenUsed/>
    <w:qFormat/>
    <w:uiPriority w:val="99"/>
    <w:pPr>
      <w:ind w:left="100" w:leftChars="2100"/>
    </w:pPr>
  </w:style>
  <w:style w:type="paragraph" w:styleId="57">
    <w:name w:val="toc 1"/>
    <w:basedOn w:val="1"/>
    <w:next w:val="1"/>
    <w:unhideWhenUsed/>
    <w:qFormat/>
    <w:uiPriority w:val="39"/>
  </w:style>
  <w:style w:type="paragraph" w:styleId="58">
    <w:name w:val="List Continue 4"/>
    <w:basedOn w:val="1"/>
    <w:semiHidden/>
    <w:unhideWhenUsed/>
    <w:qFormat/>
    <w:uiPriority w:val="99"/>
    <w:pPr>
      <w:spacing w:after="120"/>
      <w:ind w:left="1680" w:leftChars="800"/>
      <w:contextualSpacing/>
    </w:pPr>
  </w:style>
  <w:style w:type="paragraph" w:styleId="59">
    <w:name w:val="toc 4"/>
    <w:basedOn w:val="1"/>
    <w:next w:val="1"/>
    <w:semiHidden/>
    <w:unhideWhenUsed/>
    <w:qFormat/>
    <w:uiPriority w:val="39"/>
    <w:pPr>
      <w:ind w:left="1260" w:leftChars="600"/>
    </w:pPr>
  </w:style>
  <w:style w:type="paragraph" w:styleId="60">
    <w:name w:val="Subtitle"/>
    <w:basedOn w:val="1"/>
    <w:next w:val="1"/>
    <w:link w:val="137"/>
    <w:qFormat/>
    <w:uiPriority w:val="11"/>
    <w:pPr>
      <w:spacing w:before="240" w:after="60" w:line="312" w:lineRule="auto"/>
      <w:jc w:val="center"/>
      <w:outlineLvl w:val="1"/>
    </w:pPr>
    <w:rPr>
      <w:b/>
      <w:bCs/>
      <w:kern w:val="28"/>
      <w:sz w:val="32"/>
      <w:szCs w:val="32"/>
    </w:rPr>
  </w:style>
  <w:style w:type="paragraph" w:styleId="61">
    <w:name w:val="List Number 5"/>
    <w:basedOn w:val="1"/>
    <w:semiHidden/>
    <w:unhideWhenUsed/>
    <w:qFormat/>
    <w:uiPriority w:val="99"/>
    <w:pPr>
      <w:numPr>
        <w:ilvl w:val="0"/>
        <w:numId w:val="10"/>
      </w:numPr>
      <w:contextualSpacing/>
    </w:pPr>
  </w:style>
  <w:style w:type="paragraph" w:styleId="62">
    <w:name w:val="List"/>
    <w:basedOn w:val="1"/>
    <w:semiHidden/>
    <w:unhideWhenUsed/>
    <w:qFormat/>
    <w:uiPriority w:val="99"/>
    <w:pPr>
      <w:ind w:left="200" w:hanging="200" w:hangingChars="200"/>
      <w:contextualSpacing/>
    </w:pPr>
  </w:style>
  <w:style w:type="paragraph" w:styleId="63">
    <w:name w:val="footnote text"/>
    <w:basedOn w:val="1"/>
    <w:link w:val="140"/>
    <w:semiHidden/>
    <w:unhideWhenUsed/>
    <w:qFormat/>
    <w:uiPriority w:val="99"/>
    <w:pPr>
      <w:snapToGrid w:val="0"/>
      <w:jc w:val="left"/>
    </w:pPr>
    <w:rPr>
      <w:sz w:val="18"/>
      <w:szCs w:val="18"/>
    </w:rPr>
  </w:style>
  <w:style w:type="paragraph" w:styleId="64">
    <w:name w:val="toc 6"/>
    <w:basedOn w:val="1"/>
    <w:next w:val="1"/>
    <w:semiHidden/>
    <w:unhideWhenUsed/>
    <w:qFormat/>
    <w:uiPriority w:val="39"/>
    <w:pPr>
      <w:ind w:left="2100" w:leftChars="1000"/>
    </w:pPr>
  </w:style>
  <w:style w:type="paragraph" w:styleId="65">
    <w:name w:val="List 5"/>
    <w:basedOn w:val="1"/>
    <w:semiHidden/>
    <w:unhideWhenUsed/>
    <w:qFormat/>
    <w:uiPriority w:val="99"/>
    <w:pPr>
      <w:ind w:left="100" w:leftChars="800" w:hanging="200" w:hangingChars="200"/>
      <w:contextualSpacing/>
    </w:pPr>
  </w:style>
  <w:style w:type="paragraph" w:styleId="66">
    <w:name w:val="Body Text Indent 3"/>
    <w:basedOn w:val="1"/>
    <w:link w:val="168"/>
    <w:semiHidden/>
    <w:unhideWhenUsed/>
    <w:qFormat/>
    <w:uiPriority w:val="99"/>
    <w:pPr>
      <w:spacing w:after="120"/>
      <w:ind w:left="420" w:leftChars="200"/>
    </w:pPr>
    <w:rPr>
      <w:sz w:val="16"/>
      <w:szCs w:val="16"/>
    </w:rPr>
  </w:style>
  <w:style w:type="paragraph" w:styleId="67">
    <w:name w:val="index 7"/>
    <w:basedOn w:val="1"/>
    <w:next w:val="1"/>
    <w:semiHidden/>
    <w:unhideWhenUsed/>
    <w:qFormat/>
    <w:uiPriority w:val="99"/>
    <w:pPr>
      <w:ind w:left="1200" w:leftChars="1200"/>
    </w:pPr>
  </w:style>
  <w:style w:type="paragraph" w:styleId="68">
    <w:name w:val="index 9"/>
    <w:basedOn w:val="1"/>
    <w:next w:val="1"/>
    <w:semiHidden/>
    <w:unhideWhenUsed/>
    <w:qFormat/>
    <w:uiPriority w:val="99"/>
    <w:pPr>
      <w:ind w:left="1600" w:leftChars="1600"/>
    </w:pPr>
  </w:style>
  <w:style w:type="paragraph" w:styleId="69">
    <w:name w:val="table of figures"/>
    <w:basedOn w:val="1"/>
    <w:next w:val="1"/>
    <w:semiHidden/>
    <w:unhideWhenUsed/>
    <w:qFormat/>
    <w:uiPriority w:val="99"/>
    <w:pPr>
      <w:ind w:left="200" w:leftChars="200" w:hanging="200" w:hangingChars="200"/>
    </w:pPr>
  </w:style>
  <w:style w:type="paragraph" w:styleId="70">
    <w:name w:val="toc 2"/>
    <w:basedOn w:val="1"/>
    <w:next w:val="1"/>
    <w:unhideWhenUsed/>
    <w:qFormat/>
    <w:uiPriority w:val="39"/>
    <w:pPr>
      <w:ind w:left="420" w:leftChars="200"/>
    </w:pPr>
  </w:style>
  <w:style w:type="paragraph" w:styleId="71">
    <w:name w:val="toc 9"/>
    <w:basedOn w:val="1"/>
    <w:next w:val="1"/>
    <w:semiHidden/>
    <w:unhideWhenUsed/>
    <w:qFormat/>
    <w:uiPriority w:val="39"/>
    <w:pPr>
      <w:ind w:left="3360" w:leftChars="1600"/>
    </w:pPr>
  </w:style>
  <w:style w:type="paragraph" w:styleId="72">
    <w:name w:val="Body Text 2"/>
    <w:basedOn w:val="1"/>
    <w:link w:val="161"/>
    <w:semiHidden/>
    <w:unhideWhenUsed/>
    <w:qFormat/>
    <w:uiPriority w:val="99"/>
    <w:pPr>
      <w:spacing w:after="120" w:line="480" w:lineRule="auto"/>
    </w:pPr>
  </w:style>
  <w:style w:type="paragraph" w:styleId="73">
    <w:name w:val="List 4"/>
    <w:basedOn w:val="1"/>
    <w:semiHidden/>
    <w:unhideWhenUsed/>
    <w:qFormat/>
    <w:uiPriority w:val="99"/>
    <w:pPr>
      <w:ind w:left="100" w:leftChars="600" w:hanging="200" w:hangingChars="200"/>
      <w:contextualSpacing/>
    </w:pPr>
  </w:style>
  <w:style w:type="paragraph" w:styleId="74">
    <w:name w:val="List Continue 2"/>
    <w:basedOn w:val="1"/>
    <w:semiHidden/>
    <w:unhideWhenUsed/>
    <w:qFormat/>
    <w:uiPriority w:val="99"/>
    <w:pPr>
      <w:spacing w:after="120"/>
      <w:ind w:left="840" w:leftChars="400"/>
      <w:contextualSpacing/>
    </w:pPr>
  </w:style>
  <w:style w:type="paragraph" w:styleId="75">
    <w:name w:val="Message Header"/>
    <w:basedOn w:val="1"/>
    <w:link w:val="179"/>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szCs w:val="24"/>
    </w:rPr>
  </w:style>
  <w:style w:type="paragraph" w:styleId="76">
    <w:name w:val="HTML Preformatted"/>
    <w:basedOn w:val="1"/>
    <w:link w:val="126"/>
    <w:semiHidden/>
    <w:unhideWhenUsed/>
    <w:qFormat/>
    <w:uiPriority w:val="99"/>
    <w:rPr>
      <w:rFonts w:ascii="Courier New" w:hAnsi="Courier New" w:cs="Courier New"/>
      <w:sz w:val="20"/>
      <w:szCs w:val="20"/>
    </w:rPr>
  </w:style>
  <w:style w:type="paragraph" w:styleId="7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8">
    <w:name w:val="List Continue 3"/>
    <w:basedOn w:val="1"/>
    <w:semiHidden/>
    <w:unhideWhenUsed/>
    <w:qFormat/>
    <w:uiPriority w:val="99"/>
    <w:pPr>
      <w:spacing w:after="120"/>
      <w:ind w:left="1260" w:leftChars="600"/>
      <w:contextualSpacing/>
    </w:pPr>
  </w:style>
  <w:style w:type="paragraph" w:styleId="79">
    <w:name w:val="index 1"/>
    <w:basedOn w:val="1"/>
    <w:next w:val="1"/>
    <w:semiHidden/>
    <w:unhideWhenUsed/>
    <w:qFormat/>
    <w:uiPriority w:val="99"/>
  </w:style>
  <w:style w:type="paragraph" w:styleId="80">
    <w:name w:val="index 2"/>
    <w:basedOn w:val="1"/>
    <w:next w:val="1"/>
    <w:semiHidden/>
    <w:unhideWhenUsed/>
    <w:qFormat/>
    <w:uiPriority w:val="99"/>
    <w:pPr>
      <w:ind w:left="200" w:leftChars="200"/>
    </w:pPr>
  </w:style>
  <w:style w:type="paragraph" w:styleId="81">
    <w:name w:val="Title"/>
    <w:basedOn w:val="1"/>
    <w:next w:val="1"/>
    <w:link w:val="129"/>
    <w:qFormat/>
    <w:uiPriority w:val="10"/>
    <w:pPr>
      <w:spacing w:before="240" w:after="60"/>
      <w:jc w:val="center"/>
      <w:outlineLvl w:val="0"/>
    </w:pPr>
    <w:rPr>
      <w:rFonts w:ascii="Calibri Light" w:hAnsi="Calibri Light" w:eastAsia="宋体" w:cs="Times New Roman"/>
      <w:b/>
      <w:bCs/>
      <w:sz w:val="32"/>
      <w:szCs w:val="32"/>
    </w:rPr>
  </w:style>
  <w:style w:type="paragraph" w:styleId="82">
    <w:name w:val="annotation subject"/>
    <w:basedOn w:val="26"/>
    <w:next w:val="26"/>
    <w:link w:val="123"/>
    <w:semiHidden/>
    <w:unhideWhenUsed/>
    <w:qFormat/>
    <w:uiPriority w:val="99"/>
    <w:rPr>
      <w:b/>
      <w:bCs/>
    </w:rPr>
  </w:style>
  <w:style w:type="paragraph" w:styleId="83">
    <w:name w:val="Body Text First Indent"/>
    <w:basedOn w:val="32"/>
    <w:link w:val="181"/>
    <w:semiHidden/>
    <w:unhideWhenUsed/>
    <w:qFormat/>
    <w:uiPriority w:val="99"/>
    <w:pPr>
      <w:autoSpaceDE/>
      <w:autoSpaceDN/>
      <w:spacing w:after="120"/>
      <w:ind w:firstLine="420" w:firstLineChars="100"/>
      <w:jc w:val="both"/>
    </w:pPr>
    <w:rPr>
      <w:rFonts w:asciiTheme="minorHAnsi" w:hAnsiTheme="minorHAnsi" w:eastAsiaTheme="minorEastAsia" w:cstheme="minorBidi"/>
      <w:kern w:val="2"/>
      <w:sz w:val="21"/>
      <w:szCs w:val="22"/>
      <w:lang w:eastAsia="zh-CN"/>
    </w:rPr>
  </w:style>
  <w:style w:type="paragraph" w:styleId="84">
    <w:name w:val="Body Text First Indent 2"/>
    <w:basedOn w:val="33"/>
    <w:link w:val="166"/>
    <w:semiHidden/>
    <w:unhideWhenUsed/>
    <w:qFormat/>
    <w:uiPriority w:val="99"/>
    <w:pPr>
      <w:ind w:firstLine="420" w:firstLineChars="200"/>
    </w:pPr>
  </w:style>
  <w:style w:type="table" w:styleId="86">
    <w:name w:val="Table Grid"/>
    <w:basedOn w:val="85"/>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8">
    <w:name w:val="page number"/>
    <w:basedOn w:val="87"/>
    <w:qFormat/>
    <w:uiPriority w:val="0"/>
  </w:style>
  <w:style w:type="character" w:styleId="89">
    <w:name w:val="FollowedHyperlink"/>
    <w:basedOn w:val="87"/>
    <w:semiHidden/>
    <w:unhideWhenUsed/>
    <w:qFormat/>
    <w:uiPriority w:val="99"/>
    <w:rPr>
      <w:color w:val="954F72"/>
      <w:u w:val="single"/>
    </w:rPr>
  </w:style>
  <w:style w:type="character" w:styleId="90">
    <w:name w:val="Hyperlink"/>
    <w:basedOn w:val="87"/>
    <w:unhideWhenUsed/>
    <w:qFormat/>
    <w:uiPriority w:val="99"/>
    <w:rPr>
      <w:color w:val="0563C1" w:themeColor="hyperlink"/>
      <w:u w:val="single"/>
      <w14:textFill>
        <w14:solidFill>
          <w14:schemeClr w14:val="hlink"/>
        </w14:solidFill>
      </w14:textFill>
    </w:rPr>
  </w:style>
  <w:style w:type="character" w:styleId="91">
    <w:name w:val="annotation reference"/>
    <w:basedOn w:val="87"/>
    <w:semiHidden/>
    <w:unhideWhenUsed/>
    <w:qFormat/>
    <w:uiPriority w:val="99"/>
    <w:rPr>
      <w:sz w:val="21"/>
      <w:szCs w:val="21"/>
    </w:rPr>
  </w:style>
  <w:style w:type="character" w:styleId="92">
    <w:name w:val="footnote reference"/>
    <w:basedOn w:val="87"/>
    <w:qFormat/>
    <w:uiPriority w:val="0"/>
    <w:rPr>
      <w:vertAlign w:val="superscript"/>
    </w:rPr>
  </w:style>
  <w:style w:type="character" w:customStyle="1" w:styleId="93">
    <w:name w:val="页眉 字符"/>
    <w:basedOn w:val="87"/>
    <w:link w:val="55"/>
    <w:qFormat/>
    <w:uiPriority w:val="99"/>
    <w:rPr>
      <w:sz w:val="18"/>
      <w:szCs w:val="18"/>
    </w:rPr>
  </w:style>
  <w:style w:type="character" w:customStyle="1" w:styleId="94">
    <w:name w:val="页脚 字符"/>
    <w:basedOn w:val="87"/>
    <w:link w:val="53"/>
    <w:qFormat/>
    <w:uiPriority w:val="99"/>
    <w:rPr>
      <w:sz w:val="18"/>
      <w:szCs w:val="18"/>
    </w:rPr>
  </w:style>
  <w:style w:type="character" w:customStyle="1" w:styleId="95">
    <w:name w:val="标题 1 字符"/>
    <w:basedOn w:val="87"/>
    <w:link w:val="3"/>
    <w:qFormat/>
    <w:uiPriority w:val="9"/>
    <w:rPr>
      <w:b/>
      <w:bCs/>
      <w:kern w:val="44"/>
      <w:sz w:val="44"/>
      <w:szCs w:val="44"/>
    </w:rPr>
  </w:style>
  <w:style w:type="paragraph" w:customStyle="1" w:styleId="96">
    <w:name w:val="标题 21"/>
    <w:basedOn w:val="1"/>
    <w:next w:val="1"/>
    <w:unhideWhenUsed/>
    <w:qFormat/>
    <w:uiPriority w:val="9"/>
    <w:pPr>
      <w:keepNext/>
      <w:keepLines/>
      <w:spacing w:before="260" w:after="260" w:line="416" w:lineRule="auto"/>
      <w:outlineLvl w:val="1"/>
    </w:pPr>
    <w:rPr>
      <w:rFonts w:ascii="Calibri Light" w:hAnsi="Calibri Light" w:eastAsia="宋体" w:cs="Times New Roman"/>
      <w:b/>
      <w:bCs/>
      <w:sz w:val="32"/>
      <w:szCs w:val="32"/>
    </w:rPr>
  </w:style>
  <w:style w:type="character" w:customStyle="1" w:styleId="97">
    <w:name w:val="标题 3 字符"/>
    <w:basedOn w:val="87"/>
    <w:link w:val="5"/>
    <w:semiHidden/>
    <w:qFormat/>
    <w:uiPriority w:val="9"/>
    <w:rPr>
      <w:b/>
      <w:bCs/>
      <w:sz w:val="32"/>
      <w:szCs w:val="32"/>
    </w:rPr>
  </w:style>
  <w:style w:type="paragraph" w:customStyle="1" w:styleId="98">
    <w:name w:val="标题 41"/>
    <w:basedOn w:val="1"/>
    <w:next w:val="1"/>
    <w:semiHidden/>
    <w:unhideWhenUsed/>
    <w:qFormat/>
    <w:uiPriority w:val="9"/>
    <w:pPr>
      <w:keepNext/>
      <w:keepLines/>
      <w:spacing w:before="280" w:after="290" w:line="376" w:lineRule="auto"/>
      <w:outlineLvl w:val="3"/>
    </w:pPr>
    <w:rPr>
      <w:rFonts w:ascii="Calibri Light" w:hAnsi="Calibri Light" w:eastAsia="宋体" w:cs="Times New Roman"/>
      <w:b/>
      <w:bCs/>
      <w:sz w:val="28"/>
      <w:szCs w:val="28"/>
    </w:rPr>
  </w:style>
  <w:style w:type="character" w:customStyle="1" w:styleId="99">
    <w:name w:val="标题 5 字符"/>
    <w:basedOn w:val="87"/>
    <w:link w:val="7"/>
    <w:semiHidden/>
    <w:qFormat/>
    <w:uiPriority w:val="9"/>
    <w:rPr>
      <w:b/>
      <w:bCs/>
      <w:sz w:val="28"/>
      <w:szCs w:val="28"/>
    </w:rPr>
  </w:style>
  <w:style w:type="paragraph" w:customStyle="1" w:styleId="100">
    <w:name w:val="标题 61"/>
    <w:basedOn w:val="1"/>
    <w:next w:val="1"/>
    <w:semiHidden/>
    <w:unhideWhenUsed/>
    <w:qFormat/>
    <w:uiPriority w:val="9"/>
    <w:pPr>
      <w:keepNext/>
      <w:keepLines/>
      <w:spacing w:before="240" w:after="64" w:line="320" w:lineRule="auto"/>
      <w:outlineLvl w:val="5"/>
    </w:pPr>
    <w:rPr>
      <w:rFonts w:ascii="Calibri Light" w:hAnsi="Calibri Light" w:eastAsia="宋体" w:cs="Times New Roman"/>
      <w:b/>
      <w:bCs/>
      <w:sz w:val="24"/>
      <w:szCs w:val="24"/>
    </w:rPr>
  </w:style>
  <w:style w:type="character" w:customStyle="1" w:styleId="101">
    <w:name w:val="标题 7 字符"/>
    <w:basedOn w:val="87"/>
    <w:link w:val="9"/>
    <w:semiHidden/>
    <w:qFormat/>
    <w:uiPriority w:val="9"/>
    <w:rPr>
      <w:b/>
      <w:bCs/>
      <w:sz w:val="24"/>
      <w:szCs w:val="24"/>
    </w:rPr>
  </w:style>
  <w:style w:type="paragraph" w:customStyle="1" w:styleId="102">
    <w:name w:val="标题 81"/>
    <w:basedOn w:val="1"/>
    <w:next w:val="1"/>
    <w:semiHidden/>
    <w:unhideWhenUsed/>
    <w:qFormat/>
    <w:uiPriority w:val="9"/>
    <w:pPr>
      <w:keepNext/>
      <w:keepLines/>
      <w:spacing w:before="240" w:after="64" w:line="320" w:lineRule="auto"/>
      <w:outlineLvl w:val="7"/>
    </w:pPr>
    <w:rPr>
      <w:rFonts w:ascii="Calibri Light" w:hAnsi="Calibri Light" w:eastAsia="宋体" w:cs="Times New Roman"/>
      <w:sz w:val="24"/>
      <w:szCs w:val="24"/>
    </w:rPr>
  </w:style>
  <w:style w:type="paragraph" w:customStyle="1" w:styleId="103">
    <w:name w:val="标题 91"/>
    <w:basedOn w:val="1"/>
    <w:next w:val="1"/>
    <w:semiHidden/>
    <w:unhideWhenUsed/>
    <w:qFormat/>
    <w:uiPriority w:val="9"/>
    <w:pPr>
      <w:keepNext/>
      <w:keepLines/>
      <w:spacing w:before="240" w:after="64" w:line="320" w:lineRule="auto"/>
      <w:outlineLvl w:val="8"/>
    </w:pPr>
    <w:rPr>
      <w:rFonts w:ascii="Calibri Light" w:hAnsi="Calibri Light" w:eastAsia="宋体" w:cs="Times New Roman"/>
      <w:szCs w:val="21"/>
    </w:rPr>
  </w:style>
  <w:style w:type="character" w:customStyle="1" w:styleId="104">
    <w:name w:val="标题 4 字符"/>
    <w:basedOn w:val="87"/>
    <w:link w:val="6"/>
    <w:semiHidden/>
    <w:qFormat/>
    <w:uiPriority w:val="9"/>
    <w:rPr>
      <w:rFonts w:ascii="Calibri Light" w:hAnsi="Calibri Light" w:eastAsia="宋体" w:cs="Times New Roman"/>
      <w:b/>
      <w:bCs/>
      <w:kern w:val="2"/>
      <w:sz w:val="28"/>
      <w:szCs w:val="28"/>
    </w:rPr>
  </w:style>
  <w:style w:type="character" w:customStyle="1" w:styleId="105">
    <w:name w:val="超链接1"/>
    <w:basedOn w:val="87"/>
    <w:unhideWhenUsed/>
    <w:qFormat/>
    <w:uiPriority w:val="99"/>
    <w:rPr>
      <w:color w:val="0563C1"/>
      <w:u w:val="single"/>
    </w:rPr>
  </w:style>
  <w:style w:type="paragraph" w:styleId="106">
    <w:name w:val="List Paragraph"/>
    <w:basedOn w:val="1"/>
    <w:qFormat/>
    <w:uiPriority w:val="34"/>
    <w:pPr>
      <w:ind w:firstLine="420" w:firstLineChars="200"/>
    </w:pPr>
  </w:style>
  <w:style w:type="paragraph" w:customStyle="1" w:styleId="107">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08">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09">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1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1">
    <w:name w:val="xl6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2">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13">
    <w:name w:val="xl6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14">
    <w:name w:val="xl6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15">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16">
    <w:name w:val="xl71"/>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117">
    <w:name w:val="xl72"/>
    <w:basedOn w:val="1"/>
    <w:qFormat/>
    <w:uiPriority w:val="0"/>
    <w:pPr>
      <w:widowControl/>
      <w:pBdr>
        <w:bottom w:val="single" w:color="auto" w:sz="4" w:space="0"/>
      </w:pBdr>
      <w:spacing w:before="100" w:beforeAutospacing="1" w:after="100" w:afterAutospacing="1"/>
      <w:jc w:val="right"/>
    </w:pPr>
    <w:rPr>
      <w:rFonts w:ascii="宋体" w:hAnsi="宋体" w:eastAsia="宋体" w:cs="宋体"/>
      <w:kern w:val="0"/>
      <w:sz w:val="24"/>
      <w:szCs w:val="24"/>
    </w:rPr>
  </w:style>
  <w:style w:type="table" w:customStyle="1" w:styleId="118">
    <w:name w:val="网格型浅色1"/>
    <w:basedOn w:val="85"/>
    <w:qFormat/>
    <w:uiPriority w:val="40"/>
    <w:rPr>
      <w:rFonts w:ascii="Times New Roman" w:hAnsi="Times New Roman" w:eastAsia="宋体" w:cs="Times New Roman"/>
      <w:kern w:val="0"/>
      <w:sz w:val="20"/>
      <w:szCs w:val="20"/>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customStyle="1" w:styleId="119">
    <w:name w:val="日期 字符"/>
    <w:basedOn w:val="87"/>
    <w:link w:val="48"/>
    <w:semiHidden/>
    <w:qFormat/>
    <w:uiPriority w:val="99"/>
  </w:style>
  <w:style w:type="character" w:customStyle="1" w:styleId="120">
    <w:name w:val="正文文本 字符"/>
    <w:basedOn w:val="87"/>
    <w:link w:val="32"/>
    <w:qFormat/>
    <w:uiPriority w:val="1"/>
    <w:rPr>
      <w:rFonts w:ascii="宋体" w:hAnsi="宋体" w:eastAsia="宋体" w:cs="宋体"/>
      <w:kern w:val="0"/>
      <w:sz w:val="19"/>
      <w:szCs w:val="19"/>
      <w:lang w:eastAsia="en-US"/>
    </w:rPr>
  </w:style>
  <w:style w:type="paragraph" w:customStyle="1" w:styleId="121">
    <w:name w:val="Default"/>
    <w:qFormat/>
    <w:uiPriority w:val="0"/>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 w:type="character" w:customStyle="1" w:styleId="122">
    <w:name w:val="批注文字 字符"/>
    <w:basedOn w:val="87"/>
    <w:link w:val="26"/>
    <w:semiHidden/>
    <w:qFormat/>
    <w:uiPriority w:val="99"/>
  </w:style>
  <w:style w:type="character" w:customStyle="1" w:styleId="123">
    <w:name w:val="批注主题 字符"/>
    <w:basedOn w:val="122"/>
    <w:link w:val="82"/>
    <w:semiHidden/>
    <w:qFormat/>
    <w:uiPriority w:val="99"/>
    <w:rPr>
      <w:b/>
      <w:bCs/>
    </w:rPr>
  </w:style>
  <w:style w:type="character" w:customStyle="1" w:styleId="124">
    <w:name w:val="标题 2 字符"/>
    <w:basedOn w:val="87"/>
    <w:link w:val="4"/>
    <w:qFormat/>
    <w:uiPriority w:val="9"/>
    <w:rPr>
      <w:rFonts w:ascii="Calibri Light" w:hAnsi="Calibri Light" w:eastAsia="宋体" w:cs="Times New Roman"/>
      <w:b/>
      <w:bCs/>
      <w:kern w:val="2"/>
      <w:sz w:val="32"/>
      <w:szCs w:val="32"/>
    </w:rPr>
  </w:style>
  <w:style w:type="character" w:customStyle="1" w:styleId="125">
    <w:name w:val="HTML 地址 字符"/>
    <w:basedOn w:val="87"/>
    <w:link w:val="39"/>
    <w:semiHidden/>
    <w:qFormat/>
    <w:uiPriority w:val="99"/>
    <w:rPr>
      <w:i/>
      <w:iCs/>
    </w:rPr>
  </w:style>
  <w:style w:type="character" w:customStyle="1" w:styleId="126">
    <w:name w:val="HTML 预设格式 字符"/>
    <w:basedOn w:val="87"/>
    <w:link w:val="76"/>
    <w:semiHidden/>
    <w:qFormat/>
    <w:uiPriority w:val="99"/>
    <w:rPr>
      <w:rFonts w:ascii="Courier New" w:hAnsi="Courier New" w:cs="Courier New"/>
      <w:sz w:val="20"/>
      <w:szCs w:val="20"/>
    </w:rPr>
  </w:style>
  <w:style w:type="paragraph" w:customStyle="1" w:styleId="127">
    <w:name w:val="TOC Heading"/>
    <w:basedOn w:val="3"/>
    <w:next w:val="1"/>
    <w:unhideWhenUsed/>
    <w:qFormat/>
    <w:uiPriority w:val="39"/>
    <w:pPr>
      <w:outlineLvl w:val="9"/>
    </w:pPr>
  </w:style>
  <w:style w:type="paragraph" w:customStyle="1" w:styleId="128">
    <w:name w:val="标题1"/>
    <w:basedOn w:val="1"/>
    <w:next w:val="1"/>
    <w:qFormat/>
    <w:uiPriority w:val="10"/>
    <w:pPr>
      <w:spacing w:before="240" w:after="60"/>
      <w:jc w:val="center"/>
      <w:outlineLvl w:val="0"/>
    </w:pPr>
    <w:rPr>
      <w:rFonts w:ascii="Calibri Light" w:hAnsi="Calibri Light" w:eastAsia="宋体" w:cs="Times New Roman"/>
      <w:b/>
      <w:bCs/>
      <w:sz w:val="32"/>
      <w:szCs w:val="32"/>
    </w:rPr>
  </w:style>
  <w:style w:type="character" w:customStyle="1" w:styleId="129">
    <w:name w:val="标题 字符"/>
    <w:basedOn w:val="87"/>
    <w:link w:val="81"/>
    <w:qFormat/>
    <w:uiPriority w:val="10"/>
    <w:rPr>
      <w:rFonts w:ascii="Calibri Light" w:hAnsi="Calibri Light" w:eastAsia="宋体" w:cs="Times New Roman"/>
      <w:b/>
      <w:bCs/>
      <w:kern w:val="2"/>
      <w:sz w:val="32"/>
      <w:szCs w:val="32"/>
    </w:rPr>
  </w:style>
  <w:style w:type="character" w:customStyle="1" w:styleId="130">
    <w:name w:val="标题 6 字符"/>
    <w:basedOn w:val="87"/>
    <w:link w:val="8"/>
    <w:semiHidden/>
    <w:qFormat/>
    <w:uiPriority w:val="9"/>
    <w:rPr>
      <w:rFonts w:ascii="Calibri Light" w:hAnsi="Calibri Light" w:eastAsia="宋体" w:cs="Times New Roman"/>
      <w:b/>
      <w:bCs/>
      <w:kern w:val="2"/>
      <w:sz w:val="24"/>
      <w:szCs w:val="24"/>
    </w:rPr>
  </w:style>
  <w:style w:type="character" w:customStyle="1" w:styleId="131">
    <w:name w:val="标题 8 字符"/>
    <w:basedOn w:val="87"/>
    <w:link w:val="10"/>
    <w:semiHidden/>
    <w:qFormat/>
    <w:uiPriority w:val="9"/>
    <w:rPr>
      <w:rFonts w:ascii="Calibri Light" w:hAnsi="Calibri Light" w:eastAsia="宋体" w:cs="Times New Roman"/>
      <w:kern w:val="2"/>
      <w:sz w:val="24"/>
      <w:szCs w:val="24"/>
    </w:rPr>
  </w:style>
  <w:style w:type="character" w:customStyle="1" w:styleId="132">
    <w:name w:val="标题 9 字符"/>
    <w:basedOn w:val="87"/>
    <w:link w:val="11"/>
    <w:semiHidden/>
    <w:qFormat/>
    <w:uiPriority w:val="9"/>
    <w:rPr>
      <w:rFonts w:ascii="Calibri Light" w:hAnsi="Calibri Light" w:eastAsia="宋体" w:cs="Times New Roman"/>
      <w:kern w:val="2"/>
      <w:sz w:val="21"/>
      <w:szCs w:val="21"/>
    </w:rPr>
  </w:style>
  <w:style w:type="character" w:customStyle="1" w:styleId="133">
    <w:name w:val="称呼 字符"/>
    <w:basedOn w:val="87"/>
    <w:link w:val="28"/>
    <w:semiHidden/>
    <w:qFormat/>
    <w:uiPriority w:val="99"/>
  </w:style>
  <w:style w:type="paragraph" w:customStyle="1" w:styleId="134">
    <w:name w:val="纯文本1"/>
    <w:basedOn w:val="1"/>
    <w:next w:val="43"/>
    <w:link w:val="135"/>
    <w:semiHidden/>
    <w:unhideWhenUsed/>
    <w:qFormat/>
    <w:uiPriority w:val="99"/>
    <w:rPr>
      <w:rFonts w:ascii="宋体" w:hAnsi="Courier New" w:eastAsia="宋体" w:cs="Courier New"/>
    </w:rPr>
  </w:style>
  <w:style w:type="character" w:customStyle="1" w:styleId="135">
    <w:name w:val="纯文本 字符"/>
    <w:basedOn w:val="87"/>
    <w:link w:val="134"/>
    <w:semiHidden/>
    <w:qFormat/>
    <w:uiPriority w:val="99"/>
    <w:rPr>
      <w:rFonts w:ascii="宋体" w:hAnsi="Courier New" w:eastAsia="宋体" w:cs="Courier New"/>
      <w:kern w:val="2"/>
      <w:sz w:val="21"/>
      <w:szCs w:val="22"/>
    </w:rPr>
  </w:style>
  <w:style w:type="character" w:customStyle="1" w:styleId="136">
    <w:name w:val="电子邮件签名 字符"/>
    <w:basedOn w:val="87"/>
    <w:link w:val="19"/>
    <w:semiHidden/>
    <w:qFormat/>
    <w:uiPriority w:val="99"/>
  </w:style>
  <w:style w:type="character" w:customStyle="1" w:styleId="137">
    <w:name w:val="副标题 字符"/>
    <w:basedOn w:val="87"/>
    <w:link w:val="60"/>
    <w:qFormat/>
    <w:uiPriority w:val="11"/>
    <w:rPr>
      <w:b/>
      <w:bCs/>
      <w:kern w:val="28"/>
      <w:sz w:val="32"/>
      <w:szCs w:val="32"/>
    </w:rPr>
  </w:style>
  <w:style w:type="character" w:customStyle="1" w:styleId="138">
    <w:name w:val="宏文本 字符"/>
    <w:basedOn w:val="87"/>
    <w:link w:val="2"/>
    <w:semiHidden/>
    <w:qFormat/>
    <w:uiPriority w:val="99"/>
    <w:rPr>
      <w:rFonts w:ascii="Courier New" w:hAnsi="Courier New" w:eastAsia="宋体" w:cs="Courier New"/>
      <w:sz w:val="24"/>
      <w:szCs w:val="24"/>
    </w:rPr>
  </w:style>
  <w:style w:type="paragraph" w:customStyle="1" w:styleId="139">
    <w:name w:val="寄信人地址1"/>
    <w:basedOn w:val="1"/>
    <w:next w:val="54"/>
    <w:semiHidden/>
    <w:unhideWhenUsed/>
    <w:qFormat/>
    <w:uiPriority w:val="99"/>
    <w:pPr>
      <w:snapToGrid w:val="0"/>
    </w:pPr>
    <w:rPr>
      <w:rFonts w:ascii="Calibri Light" w:hAnsi="Calibri Light" w:eastAsia="宋体" w:cs="Times New Roman"/>
    </w:rPr>
  </w:style>
  <w:style w:type="character" w:customStyle="1" w:styleId="140">
    <w:name w:val="脚注文本 字符"/>
    <w:basedOn w:val="87"/>
    <w:link w:val="63"/>
    <w:semiHidden/>
    <w:qFormat/>
    <w:uiPriority w:val="99"/>
    <w:rPr>
      <w:sz w:val="18"/>
      <w:szCs w:val="18"/>
    </w:rPr>
  </w:style>
  <w:style w:type="character" w:customStyle="1" w:styleId="141">
    <w:name w:val="结束语 字符"/>
    <w:basedOn w:val="87"/>
    <w:link w:val="30"/>
    <w:semiHidden/>
    <w:qFormat/>
    <w:uiPriority w:val="99"/>
  </w:style>
  <w:style w:type="paragraph" w:customStyle="1" w:styleId="142">
    <w:name w:val="明显引用1"/>
    <w:basedOn w:val="1"/>
    <w:next w:val="1"/>
    <w:qFormat/>
    <w:uiPriority w:val="99"/>
    <w:pPr>
      <w:pBdr>
        <w:top w:val="single" w:color="5B9BD5" w:sz="4" w:space="10"/>
        <w:bottom w:val="single" w:color="5B9BD5" w:sz="4" w:space="10"/>
      </w:pBdr>
      <w:spacing w:before="360" w:after="360"/>
      <w:ind w:left="864" w:right="864"/>
      <w:jc w:val="center"/>
    </w:pPr>
    <w:rPr>
      <w:i/>
      <w:iCs/>
      <w:color w:val="5B9BD5"/>
    </w:rPr>
  </w:style>
  <w:style w:type="character" w:customStyle="1" w:styleId="143">
    <w:name w:val="明显引用 字符"/>
    <w:basedOn w:val="87"/>
    <w:link w:val="144"/>
    <w:qFormat/>
    <w:uiPriority w:val="99"/>
    <w:rPr>
      <w:rFonts w:ascii="Calibri" w:hAnsi="Calibri" w:eastAsia="宋体" w:cs="Times New Roman"/>
      <w:i/>
      <w:iCs/>
      <w:color w:val="5B9BD5"/>
      <w:kern w:val="2"/>
      <w:sz w:val="21"/>
      <w:szCs w:val="22"/>
    </w:rPr>
  </w:style>
  <w:style w:type="paragraph" w:styleId="144">
    <w:name w:val="Intense Quote"/>
    <w:basedOn w:val="1"/>
    <w:next w:val="1"/>
    <w:link w:val="143"/>
    <w:qFormat/>
    <w:uiPriority w:val="99"/>
    <w:pPr>
      <w:pBdr>
        <w:top w:val="single" w:color="4472C4" w:themeColor="accent1" w:sz="4" w:space="10"/>
        <w:bottom w:val="single" w:color="4472C4" w:themeColor="accent1" w:sz="4" w:space="10"/>
      </w:pBdr>
      <w:spacing w:before="360" w:after="360"/>
      <w:ind w:left="864" w:right="864"/>
      <w:jc w:val="center"/>
    </w:pPr>
    <w:rPr>
      <w:rFonts w:ascii="Calibri" w:hAnsi="Calibri" w:eastAsia="宋体" w:cs="Times New Roman"/>
      <w:i/>
      <w:iCs/>
      <w:color w:val="5B9BD5"/>
    </w:rPr>
  </w:style>
  <w:style w:type="character" w:customStyle="1" w:styleId="145">
    <w:name w:val="批注框文本 字符"/>
    <w:basedOn w:val="87"/>
    <w:link w:val="52"/>
    <w:semiHidden/>
    <w:qFormat/>
    <w:uiPriority w:val="99"/>
    <w:rPr>
      <w:sz w:val="18"/>
      <w:szCs w:val="18"/>
    </w:rPr>
  </w:style>
  <w:style w:type="character" w:customStyle="1" w:styleId="146">
    <w:name w:val="签名 字符"/>
    <w:basedOn w:val="87"/>
    <w:link w:val="56"/>
    <w:semiHidden/>
    <w:qFormat/>
    <w:uiPriority w:val="99"/>
  </w:style>
  <w:style w:type="paragraph" w:customStyle="1" w:styleId="147">
    <w:name w:val="收信人地址1"/>
    <w:basedOn w:val="1"/>
    <w:next w:val="24"/>
    <w:semiHidden/>
    <w:unhideWhenUsed/>
    <w:qFormat/>
    <w:uiPriority w:val="99"/>
    <w:pPr>
      <w:framePr w:w="7920" w:h="1980" w:hRule="exact" w:hSpace="180" w:wrap="auto" w:vAnchor="margin" w:hAnchor="page" w:xAlign="center" w:yAlign="bottom"/>
      <w:snapToGrid w:val="0"/>
      <w:ind w:left="100" w:leftChars="1400"/>
    </w:pPr>
    <w:rPr>
      <w:rFonts w:ascii="Calibri Light" w:hAnsi="Calibri Light" w:eastAsia="宋体" w:cs="Times New Roman"/>
      <w:sz w:val="24"/>
      <w:szCs w:val="24"/>
    </w:rPr>
  </w:style>
  <w:style w:type="paragraph" w:customStyle="1" w:styleId="148">
    <w:name w:val="Bibliography"/>
    <w:basedOn w:val="1"/>
    <w:next w:val="1"/>
    <w:semiHidden/>
    <w:unhideWhenUsed/>
    <w:qFormat/>
    <w:uiPriority w:val="37"/>
  </w:style>
  <w:style w:type="paragraph" w:customStyle="1" w:styleId="149">
    <w:name w:val="索引标题1"/>
    <w:basedOn w:val="1"/>
    <w:next w:val="79"/>
    <w:semiHidden/>
    <w:unhideWhenUsed/>
    <w:qFormat/>
    <w:uiPriority w:val="99"/>
    <w:rPr>
      <w:rFonts w:ascii="Calibri Light" w:hAnsi="Calibri Light" w:eastAsia="宋体" w:cs="Times New Roman"/>
      <w:b/>
      <w:bCs/>
    </w:rPr>
  </w:style>
  <w:style w:type="paragraph" w:customStyle="1" w:styleId="150">
    <w:name w:val="题注1"/>
    <w:basedOn w:val="1"/>
    <w:next w:val="1"/>
    <w:semiHidden/>
    <w:unhideWhenUsed/>
    <w:qFormat/>
    <w:uiPriority w:val="35"/>
    <w:rPr>
      <w:rFonts w:ascii="Calibri Light" w:hAnsi="Calibri Light" w:eastAsia="黑体" w:cs="Times New Roman"/>
      <w:sz w:val="20"/>
      <w:szCs w:val="20"/>
    </w:rPr>
  </w:style>
  <w:style w:type="character" w:customStyle="1" w:styleId="151">
    <w:name w:val="尾注文本 字符"/>
    <w:basedOn w:val="87"/>
    <w:link w:val="50"/>
    <w:semiHidden/>
    <w:qFormat/>
    <w:uiPriority w:val="99"/>
  </w:style>
  <w:style w:type="character" w:customStyle="1" w:styleId="152">
    <w:name w:val="文档结构图 字符"/>
    <w:basedOn w:val="87"/>
    <w:link w:val="25"/>
    <w:semiHidden/>
    <w:qFormat/>
    <w:uiPriority w:val="99"/>
    <w:rPr>
      <w:rFonts w:ascii="Microsoft YaHei UI" w:eastAsia="Microsoft YaHei UI"/>
      <w:sz w:val="18"/>
      <w:szCs w:val="18"/>
    </w:rPr>
  </w:style>
  <w:style w:type="paragraph" w:customStyle="1" w:styleId="153">
    <w:name w:val="无间隔1"/>
    <w:next w:val="154"/>
    <w:qFormat/>
    <w:uiPriority w:val="99"/>
    <w:pPr>
      <w:widowControl w:val="0"/>
      <w:jc w:val="both"/>
    </w:pPr>
    <w:rPr>
      <w:rFonts w:asciiTheme="minorHAnsi" w:hAnsiTheme="minorHAnsi" w:eastAsiaTheme="minorEastAsia" w:cstheme="minorBidi"/>
      <w:kern w:val="2"/>
      <w:sz w:val="21"/>
      <w:szCs w:val="22"/>
      <w:lang w:val="en-US" w:eastAsia="zh-CN" w:bidi="ar-SA"/>
    </w:rPr>
  </w:style>
  <w:style w:type="paragraph" w:styleId="15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
    <w:name w:val="信息标题1"/>
    <w:basedOn w:val="1"/>
    <w:next w:val="75"/>
    <w:link w:val="156"/>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eastAsia="宋体" w:cs="Times New Roman"/>
      <w:sz w:val="24"/>
      <w:szCs w:val="24"/>
    </w:rPr>
  </w:style>
  <w:style w:type="character" w:customStyle="1" w:styleId="156">
    <w:name w:val="信息标题 字符"/>
    <w:basedOn w:val="87"/>
    <w:link w:val="155"/>
    <w:semiHidden/>
    <w:qFormat/>
    <w:uiPriority w:val="99"/>
    <w:rPr>
      <w:rFonts w:ascii="Calibri Light" w:hAnsi="Calibri Light" w:eastAsia="宋体" w:cs="Times New Roman"/>
      <w:kern w:val="2"/>
      <w:sz w:val="24"/>
      <w:szCs w:val="24"/>
      <w:shd w:val="pct20" w:color="auto" w:fill="auto"/>
    </w:rPr>
  </w:style>
  <w:style w:type="paragraph" w:customStyle="1" w:styleId="157">
    <w:name w:val="引文目录标题1"/>
    <w:basedOn w:val="1"/>
    <w:next w:val="1"/>
    <w:semiHidden/>
    <w:unhideWhenUsed/>
    <w:qFormat/>
    <w:uiPriority w:val="99"/>
    <w:pPr>
      <w:spacing w:before="120"/>
    </w:pPr>
    <w:rPr>
      <w:rFonts w:ascii="Calibri Light" w:hAnsi="Calibri Light" w:eastAsia="宋体" w:cs="Times New Roman"/>
      <w:sz w:val="24"/>
      <w:szCs w:val="24"/>
    </w:rPr>
  </w:style>
  <w:style w:type="paragraph" w:customStyle="1" w:styleId="158">
    <w:name w:val="引用1"/>
    <w:basedOn w:val="1"/>
    <w:next w:val="1"/>
    <w:qFormat/>
    <w:uiPriority w:val="99"/>
    <w:pPr>
      <w:spacing w:before="200" w:after="160"/>
      <w:ind w:left="864" w:right="864"/>
      <w:jc w:val="center"/>
    </w:pPr>
    <w:rPr>
      <w:i/>
      <w:iCs/>
      <w:color w:val="404040"/>
    </w:rPr>
  </w:style>
  <w:style w:type="character" w:customStyle="1" w:styleId="159">
    <w:name w:val="引用 字符"/>
    <w:basedOn w:val="87"/>
    <w:link w:val="160"/>
    <w:qFormat/>
    <w:uiPriority w:val="99"/>
    <w:rPr>
      <w:rFonts w:ascii="Calibri" w:hAnsi="Calibri" w:eastAsia="宋体" w:cs="Times New Roman"/>
      <w:i/>
      <w:iCs/>
      <w:color w:val="404040"/>
      <w:kern w:val="2"/>
      <w:sz w:val="21"/>
      <w:szCs w:val="22"/>
    </w:rPr>
  </w:style>
  <w:style w:type="paragraph" w:styleId="160">
    <w:name w:val="Quote"/>
    <w:basedOn w:val="1"/>
    <w:next w:val="1"/>
    <w:link w:val="159"/>
    <w:qFormat/>
    <w:uiPriority w:val="99"/>
    <w:pPr>
      <w:spacing w:before="200" w:after="160"/>
      <w:ind w:left="864" w:right="864"/>
      <w:jc w:val="center"/>
    </w:pPr>
    <w:rPr>
      <w:rFonts w:ascii="Calibri" w:hAnsi="Calibri" w:eastAsia="宋体" w:cs="Times New Roman"/>
      <w:i/>
      <w:iCs/>
      <w:color w:val="404040"/>
    </w:rPr>
  </w:style>
  <w:style w:type="character" w:customStyle="1" w:styleId="161">
    <w:name w:val="正文文本 2 字符"/>
    <w:basedOn w:val="87"/>
    <w:link w:val="72"/>
    <w:semiHidden/>
    <w:qFormat/>
    <w:uiPriority w:val="99"/>
  </w:style>
  <w:style w:type="character" w:customStyle="1" w:styleId="162">
    <w:name w:val="正文文本 3 字符"/>
    <w:basedOn w:val="87"/>
    <w:link w:val="29"/>
    <w:semiHidden/>
    <w:qFormat/>
    <w:uiPriority w:val="99"/>
    <w:rPr>
      <w:sz w:val="16"/>
      <w:szCs w:val="16"/>
    </w:rPr>
  </w:style>
  <w:style w:type="paragraph" w:customStyle="1" w:styleId="163">
    <w:name w:val="正文文本首行缩进1"/>
    <w:basedOn w:val="32"/>
    <w:next w:val="83"/>
    <w:link w:val="164"/>
    <w:semiHidden/>
    <w:unhideWhenUsed/>
    <w:qFormat/>
    <w:uiPriority w:val="99"/>
    <w:pPr>
      <w:autoSpaceDE/>
      <w:autoSpaceDN/>
      <w:spacing w:after="120"/>
      <w:ind w:firstLine="420" w:firstLineChars="100"/>
      <w:jc w:val="both"/>
    </w:pPr>
    <w:rPr>
      <w:rFonts w:ascii="Calibri" w:hAnsi="Calibri" w:cs="Times New Roman"/>
      <w:kern w:val="2"/>
      <w:sz w:val="21"/>
      <w:szCs w:val="22"/>
    </w:rPr>
  </w:style>
  <w:style w:type="character" w:customStyle="1" w:styleId="164">
    <w:name w:val="正文文本首行缩进 字符"/>
    <w:basedOn w:val="120"/>
    <w:link w:val="163"/>
    <w:semiHidden/>
    <w:qFormat/>
    <w:uiPriority w:val="99"/>
    <w:rPr>
      <w:rFonts w:ascii="Calibri" w:hAnsi="Calibri" w:eastAsia="宋体" w:cs="Times New Roman"/>
      <w:kern w:val="2"/>
      <w:sz w:val="21"/>
      <w:szCs w:val="22"/>
      <w:lang w:eastAsia="en-US"/>
    </w:rPr>
  </w:style>
  <w:style w:type="character" w:customStyle="1" w:styleId="165">
    <w:name w:val="正文文本缩进 字符"/>
    <w:basedOn w:val="87"/>
    <w:link w:val="33"/>
    <w:semiHidden/>
    <w:qFormat/>
    <w:uiPriority w:val="99"/>
  </w:style>
  <w:style w:type="character" w:customStyle="1" w:styleId="166">
    <w:name w:val="正文文本首行缩进 2 字符"/>
    <w:basedOn w:val="165"/>
    <w:link w:val="84"/>
    <w:semiHidden/>
    <w:qFormat/>
    <w:uiPriority w:val="99"/>
  </w:style>
  <w:style w:type="character" w:customStyle="1" w:styleId="167">
    <w:name w:val="正文文本缩进 2 字符"/>
    <w:basedOn w:val="87"/>
    <w:link w:val="49"/>
    <w:semiHidden/>
    <w:qFormat/>
    <w:uiPriority w:val="99"/>
  </w:style>
  <w:style w:type="character" w:customStyle="1" w:styleId="168">
    <w:name w:val="正文文本缩进 3 字符"/>
    <w:basedOn w:val="87"/>
    <w:link w:val="66"/>
    <w:semiHidden/>
    <w:qFormat/>
    <w:uiPriority w:val="99"/>
    <w:rPr>
      <w:sz w:val="16"/>
      <w:szCs w:val="16"/>
    </w:rPr>
  </w:style>
  <w:style w:type="character" w:customStyle="1" w:styleId="169">
    <w:name w:val="注释标题 字符"/>
    <w:basedOn w:val="87"/>
    <w:link w:val="16"/>
    <w:semiHidden/>
    <w:qFormat/>
    <w:uiPriority w:val="99"/>
  </w:style>
  <w:style w:type="character" w:customStyle="1" w:styleId="170">
    <w:name w:val="标题 4 字符1"/>
    <w:basedOn w:val="87"/>
    <w:semiHidden/>
    <w:qFormat/>
    <w:uiPriority w:val="9"/>
    <w:rPr>
      <w:rFonts w:asciiTheme="majorHAnsi" w:hAnsiTheme="majorHAnsi" w:eastAsiaTheme="majorEastAsia" w:cstheme="majorBidi"/>
      <w:b/>
      <w:bCs/>
      <w:sz w:val="28"/>
      <w:szCs w:val="28"/>
    </w:rPr>
  </w:style>
  <w:style w:type="table" w:customStyle="1" w:styleId="171">
    <w:name w:val="Grid Table Light"/>
    <w:basedOn w:val="8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172">
    <w:name w:val="标题 2 字符1"/>
    <w:basedOn w:val="87"/>
    <w:semiHidden/>
    <w:qFormat/>
    <w:uiPriority w:val="9"/>
    <w:rPr>
      <w:rFonts w:asciiTheme="majorHAnsi" w:hAnsiTheme="majorHAnsi" w:eastAsiaTheme="majorEastAsia" w:cstheme="majorBidi"/>
      <w:b/>
      <w:bCs/>
      <w:sz w:val="32"/>
      <w:szCs w:val="32"/>
    </w:rPr>
  </w:style>
  <w:style w:type="character" w:customStyle="1" w:styleId="173">
    <w:name w:val="标题 字符1"/>
    <w:basedOn w:val="87"/>
    <w:qFormat/>
    <w:uiPriority w:val="10"/>
    <w:rPr>
      <w:rFonts w:asciiTheme="majorHAnsi" w:hAnsiTheme="majorHAnsi" w:eastAsiaTheme="majorEastAsia" w:cstheme="majorBidi"/>
      <w:b/>
      <w:bCs/>
      <w:sz w:val="32"/>
      <w:szCs w:val="32"/>
    </w:rPr>
  </w:style>
  <w:style w:type="character" w:customStyle="1" w:styleId="174">
    <w:name w:val="标题 6 字符1"/>
    <w:basedOn w:val="87"/>
    <w:semiHidden/>
    <w:qFormat/>
    <w:uiPriority w:val="9"/>
    <w:rPr>
      <w:rFonts w:asciiTheme="majorHAnsi" w:hAnsiTheme="majorHAnsi" w:eastAsiaTheme="majorEastAsia" w:cstheme="majorBidi"/>
      <w:b/>
      <w:bCs/>
      <w:sz w:val="24"/>
      <w:szCs w:val="24"/>
    </w:rPr>
  </w:style>
  <w:style w:type="character" w:customStyle="1" w:styleId="175">
    <w:name w:val="标题 8 字符1"/>
    <w:basedOn w:val="87"/>
    <w:semiHidden/>
    <w:qFormat/>
    <w:uiPriority w:val="9"/>
    <w:rPr>
      <w:rFonts w:asciiTheme="majorHAnsi" w:hAnsiTheme="majorHAnsi" w:eastAsiaTheme="majorEastAsia" w:cstheme="majorBidi"/>
      <w:sz w:val="24"/>
      <w:szCs w:val="24"/>
    </w:rPr>
  </w:style>
  <w:style w:type="character" w:customStyle="1" w:styleId="176">
    <w:name w:val="标题 9 字符1"/>
    <w:basedOn w:val="87"/>
    <w:semiHidden/>
    <w:qFormat/>
    <w:uiPriority w:val="9"/>
    <w:rPr>
      <w:rFonts w:asciiTheme="majorHAnsi" w:hAnsiTheme="majorHAnsi" w:eastAsiaTheme="majorEastAsia" w:cstheme="majorBidi"/>
      <w:szCs w:val="21"/>
    </w:rPr>
  </w:style>
  <w:style w:type="character" w:customStyle="1" w:styleId="177">
    <w:name w:val="纯文本 字符1"/>
    <w:basedOn w:val="87"/>
    <w:link w:val="43"/>
    <w:semiHidden/>
    <w:qFormat/>
    <w:uiPriority w:val="99"/>
    <w:rPr>
      <w:rFonts w:hAnsi="Courier New" w:cs="Courier New" w:asciiTheme="minorEastAsia"/>
    </w:rPr>
  </w:style>
  <w:style w:type="character" w:customStyle="1" w:styleId="178">
    <w:name w:val="明显引用 字符1"/>
    <w:basedOn w:val="87"/>
    <w:qFormat/>
    <w:uiPriority w:val="30"/>
    <w:rPr>
      <w:i/>
      <w:iCs/>
      <w:color w:val="4472C4" w:themeColor="accent1"/>
      <w14:textFill>
        <w14:solidFill>
          <w14:schemeClr w14:val="accent1"/>
        </w14:solidFill>
      </w14:textFill>
    </w:rPr>
  </w:style>
  <w:style w:type="character" w:customStyle="1" w:styleId="179">
    <w:name w:val="信息标题 字符1"/>
    <w:basedOn w:val="87"/>
    <w:link w:val="75"/>
    <w:semiHidden/>
    <w:qFormat/>
    <w:uiPriority w:val="99"/>
    <w:rPr>
      <w:rFonts w:asciiTheme="majorHAnsi" w:hAnsiTheme="majorHAnsi" w:eastAsiaTheme="majorEastAsia" w:cstheme="majorBidi"/>
      <w:sz w:val="24"/>
      <w:szCs w:val="24"/>
      <w:shd w:val="pct20" w:color="auto" w:fill="auto"/>
    </w:rPr>
  </w:style>
  <w:style w:type="character" w:customStyle="1" w:styleId="180">
    <w:name w:val="引用 字符1"/>
    <w:basedOn w:val="87"/>
    <w:qFormat/>
    <w:uiPriority w:val="29"/>
    <w:rPr>
      <w:i/>
      <w:iCs/>
      <w:color w:val="404040" w:themeColor="text1" w:themeTint="BF"/>
      <w14:textFill>
        <w14:solidFill>
          <w14:schemeClr w14:val="tx1">
            <w14:lumMod w14:val="75000"/>
            <w14:lumOff w14:val="25000"/>
          </w14:schemeClr>
        </w14:solidFill>
      </w14:textFill>
    </w:rPr>
  </w:style>
  <w:style w:type="character" w:customStyle="1" w:styleId="181">
    <w:name w:val="正文文本首行缩进 字符1"/>
    <w:basedOn w:val="120"/>
    <w:link w:val="83"/>
    <w:semiHidden/>
    <w:qFormat/>
    <w:uiPriority w:val="99"/>
    <w:rPr>
      <w:rFonts w:ascii="宋体" w:hAnsi="宋体" w:eastAsia="宋体" w:cs="宋体"/>
      <w:kern w:val="0"/>
      <w:sz w:val="19"/>
      <w:szCs w:val="19"/>
      <w:lang w:eastAsia="en-US"/>
    </w:rPr>
  </w:style>
  <w:style w:type="paragraph" w:customStyle="1" w:styleId="182">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chart" Target="charts/chart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stacked"/>
        <c:varyColors val="false"/>
        <c:ser>
          <c:idx val="0"/>
          <c:order val="0"/>
          <c:tx>
            <c:strRef>
              <c:f>Sheet1!$B$1</c:f>
              <c:strCache>
                <c:ptCount val="1"/>
                <c:pt idx="0">
                  <c:v>1</c:v>
                </c:pt>
              </c:strCache>
            </c:strRef>
          </c:tx>
          <c:spPr>
            <a:solidFill>
              <a:schemeClr val="accent1"/>
            </a:solidFill>
            <a:ln>
              <a:noFill/>
            </a:ln>
            <a:effectLst/>
          </c:spPr>
          <c:invertIfNegative val="false"/>
          <c:dLbls>
            <c:delete val="true"/>
          </c:dLbls>
          <c:cat>
            <c:strRef>
              <c:f>Sheet1!$A$2:$A$11</c:f>
              <c:strCache>
                <c:ptCount val="10"/>
                <c:pt idx="0">
                  <c:v>安溪畲族乡</c:v>
                </c:pt>
                <c:pt idx="1">
                  <c:v>白龙山街道</c:v>
                </c:pt>
                <c:pt idx="2">
                  <c:v>赤石乡</c:v>
                </c:pt>
                <c:pt idx="3">
                  <c:v>崇头镇</c:v>
                </c:pt>
                <c:pt idx="4">
                  <c:v>凤凰山街道</c:v>
                </c:pt>
                <c:pt idx="5">
                  <c:v>浮云街道</c:v>
                </c:pt>
                <c:pt idx="6">
                  <c:v>紧水滩镇</c:v>
                </c:pt>
                <c:pt idx="7">
                  <c:v>石塘镇</c:v>
                </c:pt>
                <c:pt idx="8">
                  <c:v>雾溪畲族乡</c:v>
                </c:pt>
                <c:pt idx="9">
                  <c:v>元和街道</c:v>
                </c:pt>
              </c:strCache>
            </c:strRef>
          </c:cat>
          <c:val>
            <c:numRef>
              <c:f>Sheet1!$B$2:$B$11</c:f>
              <c:numCache>
                <c:formatCode>General</c:formatCode>
                <c:ptCount val="10"/>
                <c:pt idx="0">
                  <c:v>30.9826530982653</c:v>
                </c:pt>
                <c:pt idx="1">
                  <c:v>2966.88010168801</c:v>
                </c:pt>
                <c:pt idx="2">
                  <c:v>14.7119564711956</c:v>
                </c:pt>
                <c:pt idx="3">
                  <c:v>49.3213249321325</c:v>
                </c:pt>
                <c:pt idx="4">
                  <c:v>1070.14623201462</c:v>
                </c:pt>
                <c:pt idx="5">
                  <c:v>360.59079605908</c:v>
                </c:pt>
                <c:pt idx="6">
                  <c:v>139.417768941777</c:v>
                </c:pt>
                <c:pt idx="7">
                  <c:v>1604.3949854395</c:v>
                </c:pt>
                <c:pt idx="8">
                  <c:v>25.2455275245527</c:v>
                </c:pt>
                <c:pt idx="9">
                  <c:v>1590.34523403452</c:v>
                </c:pt>
              </c:numCache>
            </c:numRef>
          </c:val>
        </c:ser>
        <c:ser>
          <c:idx val="1"/>
          <c:order val="1"/>
          <c:tx>
            <c:strRef>
              <c:f>Sheet1!$C$1</c:f>
              <c:strCache>
                <c:ptCount val="1"/>
                <c:pt idx="0">
                  <c:v>2</c:v>
                </c:pt>
              </c:strCache>
            </c:strRef>
          </c:tx>
          <c:spPr>
            <a:solidFill>
              <a:schemeClr val="accent2"/>
            </a:solidFill>
            <a:ln>
              <a:noFill/>
            </a:ln>
            <a:effectLst/>
          </c:spPr>
          <c:invertIfNegative val="false"/>
          <c:dLbls>
            <c:delete val="true"/>
          </c:dLbls>
          <c:cat>
            <c:strRef>
              <c:f>Sheet1!$A$2:$A$11</c:f>
              <c:strCache>
                <c:ptCount val="10"/>
                <c:pt idx="0">
                  <c:v>安溪畲族乡</c:v>
                </c:pt>
                <c:pt idx="1">
                  <c:v>白龙山街道</c:v>
                </c:pt>
                <c:pt idx="2">
                  <c:v>赤石乡</c:v>
                </c:pt>
                <c:pt idx="3">
                  <c:v>崇头镇</c:v>
                </c:pt>
                <c:pt idx="4">
                  <c:v>凤凰山街道</c:v>
                </c:pt>
                <c:pt idx="5">
                  <c:v>浮云街道</c:v>
                </c:pt>
                <c:pt idx="6">
                  <c:v>紧水滩镇</c:v>
                </c:pt>
                <c:pt idx="7">
                  <c:v>石塘镇</c:v>
                </c:pt>
                <c:pt idx="8">
                  <c:v>雾溪畲族乡</c:v>
                </c:pt>
                <c:pt idx="9">
                  <c:v>元和街道</c:v>
                </c:pt>
              </c:strCache>
            </c:strRef>
          </c:cat>
          <c:val>
            <c:numRef>
              <c:f>Sheet1!$C$2:$C$11</c:f>
              <c:numCache>
                <c:formatCode>General</c:formatCode>
                <c:ptCount val="10"/>
                <c:pt idx="0">
                  <c:v>459.645720964572</c:v>
                </c:pt>
                <c:pt idx="1">
                  <c:v>845.563224556323</c:v>
                </c:pt>
                <c:pt idx="2">
                  <c:v>372.409327240933</c:v>
                </c:pt>
                <c:pt idx="3">
                  <c:v>385.584668558467</c:v>
                </c:pt>
                <c:pt idx="4">
                  <c:v>480.112443011245</c:v>
                </c:pt>
                <c:pt idx="5">
                  <c:v>461.820436182044</c:v>
                </c:pt>
                <c:pt idx="6">
                  <c:v>181.784238178424</c:v>
                </c:pt>
                <c:pt idx="7">
                  <c:v>1563.64817136482</c:v>
                </c:pt>
                <c:pt idx="8">
                  <c:v>0</c:v>
                </c:pt>
                <c:pt idx="9">
                  <c:v>1052.73610527361</c:v>
                </c:pt>
              </c:numCache>
            </c:numRef>
          </c:val>
        </c:ser>
        <c:ser>
          <c:idx val="2"/>
          <c:order val="2"/>
          <c:tx>
            <c:strRef>
              <c:f>Sheet1!$D$1</c:f>
              <c:strCache>
                <c:ptCount val="1"/>
                <c:pt idx="0">
                  <c:v>3</c:v>
                </c:pt>
              </c:strCache>
            </c:strRef>
          </c:tx>
          <c:spPr>
            <a:solidFill>
              <a:schemeClr val="accent3"/>
            </a:solidFill>
            <a:ln>
              <a:noFill/>
            </a:ln>
            <a:effectLst/>
          </c:spPr>
          <c:invertIfNegative val="false"/>
          <c:dLbls>
            <c:delete val="true"/>
          </c:dLbls>
          <c:cat>
            <c:strRef>
              <c:f>Sheet1!$A$2:$A$11</c:f>
              <c:strCache>
                <c:ptCount val="10"/>
                <c:pt idx="0">
                  <c:v>安溪畲族乡</c:v>
                </c:pt>
                <c:pt idx="1">
                  <c:v>白龙山街道</c:v>
                </c:pt>
                <c:pt idx="2">
                  <c:v>赤石乡</c:v>
                </c:pt>
                <c:pt idx="3">
                  <c:v>崇头镇</c:v>
                </c:pt>
                <c:pt idx="4">
                  <c:v>凤凰山街道</c:v>
                </c:pt>
                <c:pt idx="5">
                  <c:v>浮云街道</c:v>
                </c:pt>
                <c:pt idx="6">
                  <c:v>紧水滩镇</c:v>
                </c:pt>
                <c:pt idx="7">
                  <c:v>石塘镇</c:v>
                </c:pt>
                <c:pt idx="8">
                  <c:v>雾溪畲族乡</c:v>
                </c:pt>
                <c:pt idx="9">
                  <c:v>元和街道</c:v>
                </c:pt>
              </c:strCache>
            </c:strRef>
          </c:cat>
          <c:val>
            <c:numRef>
              <c:f>Sheet1!$D$2:$D$11</c:f>
              <c:numCache>
                <c:formatCode>General</c:formatCode>
                <c:ptCount val="10"/>
                <c:pt idx="0">
                  <c:v>1160.81212108121</c:v>
                </c:pt>
                <c:pt idx="1">
                  <c:v>1437.68838876884</c:v>
                </c:pt>
                <c:pt idx="2">
                  <c:v>1114.45574144557</c:v>
                </c:pt>
                <c:pt idx="3">
                  <c:v>7997.70567477057</c:v>
                </c:pt>
                <c:pt idx="4">
                  <c:v>1021.58138715814</c:v>
                </c:pt>
                <c:pt idx="5">
                  <c:v>663.579171357917</c:v>
                </c:pt>
                <c:pt idx="6">
                  <c:v>1569.71870197187</c:v>
                </c:pt>
                <c:pt idx="7">
                  <c:v>3056.26751062675</c:v>
                </c:pt>
                <c:pt idx="8">
                  <c:v>732.872923287292</c:v>
                </c:pt>
                <c:pt idx="9">
                  <c:v>1678.27705782771</c:v>
                </c:pt>
              </c:numCache>
            </c:numRef>
          </c:val>
        </c:ser>
        <c:ser>
          <c:idx val="3"/>
          <c:order val="3"/>
          <c:tx>
            <c:strRef>
              <c:f>Sheet1!$E$1</c:f>
              <c:strCache>
                <c:ptCount val="1"/>
                <c:pt idx="0">
                  <c:v>4</c:v>
                </c:pt>
              </c:strCache>
            </c:strRef>
          </c:tx>
          <c:spPr>
            <a:solidFill>
              <a:schemeClr val="accent4"/>
            </a:solidFill>
            <a:ln>
              <a:noFill/>
            </a:ln>
            <a:effectLst/>
          </c:spPr>
          <c:invertIfNegative val="false"/>
          <c:dLbls>
            <c:delete val="true"/>
          </c:dLbls>
          <c:cat>
            <c:strRef>
              <c:f>Sheet1!$A$2:$A$11</c:f>
              <c:strCache>
                <c:ptCount val="10"/>
                <c:pt idx="0">
                  <c:v>安溪畲族乡</c:v>
                </c:pt>
                <c:pt idx="1">
                  <c:v>白龙山街道</c:v>
                </c:pt>
                <c:pt idx="2">
                  <c:v>赤石乡</c:v>
                </c:pt>
                <c:pt idx="3">
                  <c:v>崇头镇</c:v>
                </c:pt>
                <c:pt idx="4">
                  <c:v>凤凰山街道</c:v>
                </c:pt>
                <c:pt idx="5">
                  <c:v>浮云街道</c:v>
                </c:pt>
                <c:pt idx="6">
                  <c:v>紧水滩镇</c:v>
                </c:pt>
                <c:pt idx="7">
                  <c:v>石塘镇</c:v>
                </c:pt>
                <c:pt idx="8">
                  <c:v>雾溪畲族乡</c:v>
                </c:pt>
                <c:pt idx="9">
                  <c:v>元和街道</c:v>
                </c:pt>
              </c:strCache>
            </c:strRef>
          </c:cat>
          <c:val>
            <c:numRef>
              <c:f>Sheet1!$E$2:$E$11</c:f>
              <c:numCache>
                <c:formatCode>General</c:formatCode>
                <c:ptCount val="10"/>
                <c:pt idx="0">
                  <c:v>1472.41312224131</c:v>
                </c:pt>
                <c:pt idx="1">
                  <c:v>722.795172279517</c:v>
                </c:pt>
                <c:pt idx="2">
                  <c:v>4280.85816808582</c:v>
                </c:pt>
                <c:pt idx="3">
                  <c:v>25477.9963477996</c:v>
                </c:pt>
                <c:pt idx="4">
                  <c:v>2044.81713948171</c:v>
                </c:pt>
                <c:pt idx="5">
                  <c:v>1037.94883379488</c:v>
                </c:pt>
                <c:pt idx="6">
                  <c:v>6672.14607721461</c:v>
                </c:pt>
                <c:pt idx="7">
                  <c:v>8105.50884055088</c:v>
                </c:pt>
                <c:pt idx="8">
                  <c:v>2785.29539352954</c:v>
                </c:pt>
                <c:pt idx="9">
                  <c:v>5034.3869634387</c:v>
                </c:pt>
              </c:numCache>
            </c:numRef>
          </c:val>
        </c:ser>
        <c:ser>
          <c:idx val="4"/>
          <c:order val="4"/>
          <c:tx>
            <c:strRef>
              <c:f>Sheet1!$F$1</c:f>
              <c:strCache>
                <c:ptCount val="1"/>
                <c:pt idx="0">
                  <c:v>5</c:v>
                </c:pt>
              </c:strCache>
            </c:strRef>
          </c:tx>
          <c:spPr>
            <a:solidFill>
              <a:schemeClr val="accent5"/>
            </a:solidFill>
            <a:ln>
              <a:noFill/>
            </a:ln>
            <a:effectLst/>
          </c:spPr>
          <c:invertIfNegative val="false"/>
          <c:dLbls>
            <c:delete val="true"/>
          </c:dLbls>
          <c:cat>
            <c:strRef>
              <c:f>Sheet1!$A$2:$A$11</c:f>
              <c:strCache>
                <c:ptCount val="10"/>
                <c:pt idx="0">
                  <c:v>安溪畲族乡</c:v>
                </c:pt>
                <c:pt idx="1">
                  <c:v>白龙山街道</c:v>
                </c:pt>
                <c:pt idx="2">
                  <c:v>赤石乡</c:v>
                </c:pt>
                <c:pt idx="3">
                  <c:v>崇头镇</c:v>
                </c:pt>
                <c:pt idx="4">
                  <c:v>凤凰山街道</c:v>
                </c:pt>
                <c:pt idx="5">
                  <c:v>浮云街道</c:v>
                </c:pt>
                <c:pt idx="6">
                  <c:v>紧水滩镇</c:v>
                </c:pt>
                <c:pt idx="7">
                  <c:v>石塘镇</c:v>
                </c:pt>
                <c:pt idx="8">
                  <c:v>雾溪畲族乡</c:v>
                </c:pt>
                <c:pt idx="9">
                  <c:v>元和街道</c:v>
                </c:pt>
              </c:strCache>
            </c:strRef>
          </c:cat>
          <c:val>
            <c:numRef>
              <c:f>Sheet1!$F$2:$F$11</c:f>
              <c:numCache>
                <c:formatCode>General</c:formatCode>
                <c:ptCount val="10"/>
                <c:pt idx="0">
                  <c:v>346.421029642103</c:v>
                </c:pt>
                <c:pt idx="1">
                  <c:v>101.111290111129</c:v>
                </c:pt>
                <c:pt idx="2">
                  <c:v>744.706769470677</c:v>
                </c:pt>
                <c:pt idx="3">
                  <c:v>6161.89248118925</c:v>
                </c:pt>
                <c:pt idx="4">
                  <c:v>473.950832395083</c:v>
                </c:pt>
                <c:pt idx="5">
                  <c:v>26.3999126399913</c:v>
                </c:pt>
                <c:pt idx="6">
                  <c:v>2512.61548126155</c:v>
                </c:pt>
                <c:pt idx="7">
                  <c:v>1802.33931023393</c:v>
                </c:pt>
                <c:pt idx="8">
                  <c:v>383.974943397494</c:v>
                </c:pt>
                <c:pt idx="9">
                  <c:v>1348.80977988098</c:v>
                </c:pt>
              </c:numCache>
            </c:numRef>
          </c:val>
        </c:ser>
        <c:dLbls>
          <c:showLegendKey val="false"/>
          <c:showVal val="false"/>
          <c:showCatName val="false"/>
          <c:showSerName val="false"/>
          <c:showPercent val="false"/>
          <c:showBubbleSize val="false"/>
        </c:dLbls>
        <c:gapWidth val="150"/>
        <c:overlap val="100"/>
        <c:axId val="2065675312"/>
        <c:axId val="2065683632"/>
      </c:barChart>
      <c:catAx>
        <c:axId val="2065675312"/>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2065683632"/>
        <c:crosses val="autoZero"/>
        <c:auto val="true"/>
        <c:lblAlgn val="ctr"/>
        <c:lblOffset val="100"/>
        <c:noMultiLvlLbl val="false"/>
      </c:catAx>
      <c:valAx>
        <c:axId val="2065683632"/>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2065675312"/>
        <c:crosses val="autoZero"/>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20726</Words>
  <Characters>22474</Characters>
  <Lines>190</Lines>
  <Paragraphs>53</Paragraphs>
  <TotalTime>1163</TotalTime>
  <ScaleCrop>false</ScaleCrop>
  <LinksUpToDate>false</LinksUpToDate>
  <CharactersWithSpaces>23033</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2022-03-03T17:10:00Z</dcterms:created>
  <dc:creator>T X</dc:creator>
  <cp:lastModifiedBy>李苏宁</cp:lastModifiedBy>
  <cp:lastPrinted>2022-03-30T16:28:00Z</cp:lastPrinted>
  <dcterms:modified xsi:type="dcterms:W3CDTF">2023-02-24T14:14:20Z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22929A75A0FF4C8BBE9A4EC65A5B4DAE</vt:lpwstr>
  </property>
</Properties>
</file>