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0" w:beforeAutospacing="0" w:after="0" w:afterAutospacing="0"/>
        <w:ind w:firstLine="0" w:firstLineChars="0"/>
        <w:jc w:val="center"/>
        <w:rPr>
          <w:rStyle w:val="26"/>
          <w:rFonts w:ascii="Times New Roman" w:hAnsi="Times New Roman" w:eastAsia="方正小标宋简体" w:cs="Times New Roman"/>
          <w:b w:val="0"/>
          <w:bCs w:val="0"/>
          <w:color w:val="auto"/>
          <w:sz w:val="44"/>
          <w:szCs w:val="44"/>
          <w:highlight w:val="none"/>
        </w:rPr>
      </w:pPr>
    </w:p>
    <w:p>
      <w:pPr>
        <w:pStyle w:val="21"/>
        <w:spacing w:before="0" w:beforeAutospacing="0" w:after="0" w:afterAutospacing="0"/>
        <w:ind w:firstLine="0" w:firstLineChars="0"/>
        <w:jc w:val="center"/>
        <w:rPr>
          <w:rStyle w:val="26"/>
          <w:rFonts w:ascii="Times New Roman" w:hAnsi="Times New Roman" w:eastAsia="方正小标宋简体" w:cs="Times New Roman"/>
          <w:b w:val="0"/>
          <w:bCs w:val="0"/>
          <w:color w:val="auto"/>
          <w:sz w:val="44"/>
          <w:szCs w:val="44"/>
          <w:highlight w:val="none"/>
        </w:rPr>
      </w:pPr>
    </w:p>
    <w:p>
      <w:pPr>
        <w:pStyle w:val="21"/>
        <w:spacing w:before="0" w:beforeAutospacing="0" w:after="0" w:afterAutospacing="0" w:line="240" w:lineRule="auto"/>
        <w:ind w:firstLine="0" w:firstLineChars="0"/>
        <w:jc w:val="center"/>
        <w:rPr>
          <w:rStyle w:val="26"/>
          <w:rFonts w:ascii="Times New Roman" w:hAnsi="Times New Roman" w:eastAsia="方正小标宋简体" w:cs="Times New Roman"/>
          <w:b w:val="0"/>
          <w:bCs w:val="0"/>
          <w:color w:val="auto"/>
          <w:sz w:val="44"/>
          <w:szCs w:val="44"/>
          <w:highlight w:val="none"/>
        </w:rPr>
      </w:pPr>
    </w:p>
    <w:p>
      <w:pPr>
        <w:pStyle w:val="21"/>
        <w:spacing w:before="0" w:beforeAutospacing="0" w:after="0" w:afterAutospacing="0" w:line="240" w:lineRule="auto"/>
        <w:ind w:firstLine="0" w:firstLineChars="0"/>
        <w:jc w:val="center"/>
        <w:rPr>
          <w:rStyle w:val="26"/>
          <w:rFonts w:ascii="Times New Roman" w:hAnsi="Times New Roman" w:eastAsia="方正小标宋简体" w:cs="Times New Roman"/>
          <w:b w:val="0"/>
          <w:bCs w:val="0"/>
          <w:color w:val="auto"/>
          <w:sz w:val="48"/>
          <w:szCs w:val="48"/>
          <w:highlight w:val="none"/>
        </w:rPr>
      </w:pPr>
      <w:r>
        <w:rPr>
          <w:rStyle w:val="26"/>
          <w:rFonts w:ascii="Times New Roman" w:hAnsi="Times New Roman" w:eastAsia="方正小标宋简体" w:cs="Times New Roman"/>
          <w:b w:val="0"/>
          <w:bCs w:val="0"/>
          <w:color w:val="auto"/>
          <w:sz w:val="48"/>
          <w:szCs w:val="48"/>
          <w:highlight w:val="none"/>
        </w:rPr>
        <w:t>云和县扩大有效投资“十四五”规划</w:t>
      </w: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655"/>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0" w:firstLineChars="0"/>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0" w:firstLineChars="0"/>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0" w:firstLineChars="0"/>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0" w:firstLineChars="0"/>
        <w:jc w:val="center"/>
        <w:rPr>
          <w:rStyle w:val="26"/>
          <w:rFonts w:ascii="Times New Roman" w:hAnsi="Times New Roman" w:eastAsia="楷体_GB2312" w:cs="Times New Roman"/>
          <w:b w:val="0"/>
          <w:bCs w:val="0"/>
          <w:color w:val="auto"/>
          <w:sz w:val="32"/>
          <w:szCs w:val="32"/>
          <w:highlight w:val="none"/>
        </w:rPr>
      </w:pPr>
    </w:p>
    <w:p>
      <w:pPr>
        <w:pStyle w:val="21"/>
        <w:spacing w:before="0" w:beforeAutospacing="0" w:after="0" w:afterAutospacing="0"/>
        <w:ind w:firstLine="0" w:firstLineChars="0"/>
        <w:jc w:val="center"/>
        <w:rPr>
          <w:rStyle w:val="26"/>
          <w:rFonts w:ascii="Times New Roman" w:hAnsi="Times New Roman" w:eastAsia="楷体_GB2312" w:cs="Times New Roman"/>
          <w:b w:val="0"/>
          <w:bCs w:val="0"/>
          <w:color w:val="auto"/>
          <w:sz w:val="32"/>
          <w:szCs w:val="32"/>
          <w:highlight w:val="none"/>
        </w:rPr>
      </w:pPr>
      <w:r>
        <w:rPr>
          <w:rStyle w:val="26"/>
          <w:rFonts w:ascii="Times New Roman" w:hAnsi="Times New Roman" w:eastAsia="楷体_GB2312" w:cs="Times New Roman"/>
          <w:b w:val="0"/>
          <w:bCs w:val="0"/>
          <w:color w:val="auto"/>
          <w:sz w:val="32"/>
          <w:szCs w:val="32"/>
          <w:highlight w:val="none"/>
        </w:rPr>
        <w:t>云和县发展和改革局</w:t>
      </w:r>
    </w:p>
    <w:p>
      <w:pPr>
        <w:pStyle w:val="21"/>
        <w:spacing w:before="0" w:beforeAutospacing="0" w:after="0" w:afterAutospacing="0"/>
        <w:ind w:firstLine="0" w:firstLineChars="0"/>
        <w:jc w:val="center"/>
        <w:rPr>
          <w:rStyle w:val="26"/>
          <w:rFonts w:ascii="Times New Roman" w:hAnsi="Times New Roman" w:eastAsia="楷体_GB2312" w:cs="Times New Roman"/>
          <w:b w:val="0"/>
          <w:bCs w:val="0"/>
          <w:color w:val="auto"/>
          <w:sz w:val="32"/>
          <w:szCs w:val="32"/>
          <w:highlight w:val="none"/>
        </w:rPr>
      </w:pPr>
      <w:r>
        <w:rPr>
          <w:rStyle w:val="26"/>
          <w:rFonts w:ascii="Times New Roman" w:hAnsi="Times New Roman" w:eastAsia="楷体_GB2312" w:cs="Times New Roman"/>
          <w:b w:val="0"/>
          <w:bCs w:val="0"/>
          <w:color w:val="auto"/>
          <w:sz w:val="32"/>
          <w:szCs w:val="32"/>
          <w:highlight w:val="none"/>
        </w:rPr>
        <w:t>浙江省经济信息中心（浙江省价格研究所）</w:t>
      </w:r>
    </w:p>
    <w:p>
      <w:pPr>
        <w:pStyle w:val="21"/>
        <w:spacing w:before="0" w:beforeAutospacing="0" w:after="0" w:afterAutospacing="0"/>
        <w:ind w:firstLine="0" w:firstLineChars="0"/>
        <w:jc w:val="center"/>
        <w:rPr>
          <w:rStyle w:val="26"/>
          <w:rFonts w:ascii="Times New Roman" w:hAnsi="Times New Roman" w:eastAsia="楷体_GB2312" w:cs="Times New Roman"/>
          <w:b w:val="0"/>
          <w:bCs w:val="0"/>
          <w:color w:val="auto"/>
          <w:sz w:val="32"/>
          <w:szCs w:val="32"/>
          <w:highlight w:val="none"/>
        </w:rPr>
      </w:pPr>
      <w:r>
        <w:rPr>
          <w:rStyle w:val="26"/>
          <w:rFonts w:ascii="Times New Roman" w:hAnsi="Times New Roman" w:eastAsia="楷体_GB2312" w:cs="Times New Roman"/>
          <w:b w:val="0"/>
          <w:bCs w:val="0"/>
          <w:color w:val="auto"/>
          <w:sz w:val="32"/>
          <w:szCs w:val="32"/>
          <w:highlight w:val="none"/>
        </w:rPr>
        <w:t>二</w:t>
      </w:r>
      <w:r>
        <w:rPr>
          <w:rStyle w:val="26"/>
          <w:rFonts w:ascii="Times New Roman" w:hAnsi="Times New Roman" w:eastAsia="微软雅黑" w:cs="Times New Roman"/>
          <w:b w:val="0"/>
          <w:bCs w:val="0"/>
          <w:color w:val="auto"/>
          <w:sz w:val="32"/>
          <w:szCs w:val="32"/>
          <w:highlight w:val="none"/>
        </w:rPr>
        <w:t>〇</w:t>
      </w:r>
      <w:r>
        <w:rPr>
          <w:rStyle w:val="26"/>
          <w:rFonts w:ascii="Times New Roman" w:hAnsi="Times New Roman" w:eastAsia="楷体_GB2312" w:cs="Times New Roman"/>
          <w:b w:val="0"/>
          <w:bCs w:val="0"/>
          <w:color w:val="auto"/>
          <w:sz w:val="32"/>
          <w:szCs w:val="32"/>
          <w:highlight w:val="none"/>
        </w:rPr>
        <w:t>二一年十一月</w:t>
      </w:r>
    </w:p>
    <w:p>
      <w:pPr>
        <w:pStyle w:val="21"/>
        <w:spacing w:before="0" w:beforeAutospacing="0" w:after="0" w:afterAutospacing="0"/>
        <w:ind w:firstLine="0" w:firstLineChars="0"/>
        <w:jc w:val="center"/>
        <w:rPr>
          <w:rStyle w:val="26"/>
          <w:rFonts w:ascii="Times New Roman" w:hAnsi="Times New Roman" w:eastAsia="楷体_GB2312" w:cs="Times New Roman"/>
          <w:b w:val="0"/>
          <w:bCs w:val="0"/>
          <w:color w:val="auto"/>
          <w:sz w:val="32"/>
          <w:szCs w:val="32"/>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2098" w:right="1474" w:bottom="1984" w:left="1587" w:header="851" w:footer="1417" w:gutter="0"/>
          <w:cols w:space="0" w:num="1"/>
          <w:docGrid w:type="linesAndChars" w:linePitch="439" w:charSpace="1554"/>
        </w:sectPr>
      </w:pPr>
    </w:p>
    <w:p>
      <w:pPr>
        <w:spacing w:line="240" w:lineRule="auto"/>
        <w:ind w:firstLine="0" w:firstLineChars="0"/>
        <w:jc w:val="center"/>
        <w:rPr>
          <w:rFonts w:eastAsia="黑体" w:cs="Times New Roman"/>
          <w:color w:val="auto"/>
          <w:szCs w:val="32"/>
          <w:highlight w:val="none"/>
        </w:rPr>
      </w:pPr>
      <w:r>
        <w:rPr>
          <w:rFonts w:eastAsia="黑体" w:cs="Times New Roman"/>
          <w:color w:val="auto"/>
          <w:szCs w:val="32"/>
          <w:highlight w:val="none"/>
        </w:rPr>
        <w:t>目  录</w:t>
      </w:r>
    </w:p>
    <w:p>
      <w:pPr>
        <w:pStyle w:val="40"/>
        <w:tabs>
          <w:tab w:val="right" w:leader="dot" w:pos="8300"/>
        </w:tabs>
        <w:spacing w:line="500" w:lineRule="exact"/>
        <w:rPr>
          <w:rFonts w:eastAsia="黑体"/>
          <w:color w:val="auto"/>
          <w:sz w:val="32"/>
          <w:szCs w:val="32"/>
          <w:highlight w:val="none"/>
        </w:rPr>
      </w:pPr>
      <w:r>
        <w:rPr>
          <w:rFonts w:eastAsia="楷体_GB2312"/>
          <w:color w:val="auto"/>
          <w:sz w:val="32"/>
          <w:szCs w:val="32"/>
          <w:highlight w:val="none"/>
        </w:rPr>
        <w:fldChar w:fldCharType="begin"/>
      </w:r>
      <w:r>
        <w:rPr>
          <w:rFonts w:eastAsia="楷体_GB2312"/>
          <w:color w:val="auto"/>
          <w:sz w:val="32"/>
          <w:szCs w:val="32"/>
          <w:highlight w:val="none"/>
        </w:rPr>
        <w:instrText xml:space="preserve">TOC \o "1-2" \h \u </w:instrText>
      </w:r>
      <w:r>
        <w:rPr>
          <w:rFonts w:eastAsia="楷体_GB2312"/>
          <w:color w:val="auto"/>
          <w:sz w:val="32"/>
          <w:szCs w:val="32"/>
          <w:highlight w:val="none"/>
        </w:rPr>
        <w:fldChar w:fldCharType="separate"/>
      </w:r>
      <w:r>
        <w:rPr>
          <w:color w:val="auto"/>
          <w:highlight w:val="none"/>
        </w:rPr>
        <w:fldChar w:fldCharType="begin"/>
      </w:r>
      <w:r>
        <w:rPr>
          <w:color w:val="auto"/>
          <w:highlight w:val="none"/>
        </w:rPr>
        <w:instrText xml:space="preserve"> HYPERLINK \l "_Toc464" </w:instrText>
      </w:r>
      <w:r>
        <w:rPr>
          <w:color w:val="auto"/>
          <w:highlight w:val="none"/>
        </w:rPr>
        <w:fldChar w:fldCharType="separate"/>
      </w:r>
      <w:r>
        <w:rPr>
          <w:rFonts w:eastAsia="黑体"/>
          <w:color w:val="auto"/>
          <w:sz w:val="32"/>
          <w:szCs w:val="32"/>
          <w:highlight w:val="none"/>
        </w:rPr>
        <w:t>一、发展基础</w:t>
      </w:r>
      <w:r>
        <w:rPr>
          <w:rFonts w:eastAsia="黑体"/>
          <w:color w:val="auto"/>
          <w:sz w:val="32"/>
          <w:szCs w:val="32"/>
          <w:highlight w:val="none"/>
        </w:rPr>
        <w:tab/>
      </w:r>
      <w:r>
        <w:rPr>
          <w:rFonts w:eastAsia="黑体"/>
          <w:color w:val="auto"/>
          <w:sz w:val="32"/>
          <w:szCs w:val="32"/>
          <w:highlight w:val="none"/>
        </w:rPr>
        <w:fldChar w:fldCharType="begin"/>
      </w:r>
      <w:r>
        <w:rPr>
          <w:rFonts w:eastAsia="黑体"/>
          <w:color w:val="auto"/>
          <w:sz w:val="32"/>
          <w:szCs w:val="32"/>
          <w:highlight w:val="none"/>
        </w:rPr>
        <w:instrText xml:space="preserve"> PAGEREF _Toc464 \h </w:instrText>
      </w:r>
      <w:r>
        <w:rPr>
          <w:rFonts w:eastAsia="黑体"/>
          <w:color w:val="auto"/>
          <w:sz w:val="32"/>
          <w:szCs w:val="32"/>
          <w:highlight w:val="none"/>
        </w:rPr>
        <w:fldChar w:fldCharType="separate"/>
      </w:r>
      <w:r>
        <w:rPr>
          <w:rFonts w:eastAsia="黑体"/>
          <w:color w:val="auto"/>
          <w:sz w:val="32"/>
          <w:szCs w:val="32"/>
          <w:highlight w:val="none"/>
        </w:rPr>
        <w:t>1</w:t>
      </w:r>
      <w:r>
        <w:rPr>
          <w:rFonts w:eastAsia="黑体"/>
          <w:color w:val="auto"/>
          <w:sz w:val="32"/>
          <w:szCs w:val="32"/>
          <w:highlight w:val="none"/>
        </w:rPr>
        <w:fldChar w:fldCharType="end"/>
      </w:r>
      <w:r>
        <w:rPr>
          <w:rFonts w:eastAsia="黑体"/>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"_Toc27904" </w:instrText>
      </w:r>
      <w:r>
        <w:rPr>
          <w:color w:val="auto"/>
          <w:highlight w:val="none"/>
        </w:rPr>
        <w:fldChar w:fldCharType="separate"/>
      </w:r>
      <w:r>
        <w:rPr>
          <w:rFonts w:eastAsia="楷体_GB2312"/>
          <w:color w:val="auto"/>
          <w:sz w:val="32"/>
          <w:szCs w:val="32"/>
          <w:highlight w:val="none"/>
        </w:rPr>
        <w:t>（一）促进有效投资取得积极成效</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_Toc27904 \h </w:instrText>
      </w:r>
      <w:r>
        <w:rPr>
          <w:rFonts w:eastAsia="楷体_GB2312"/>
          <w:color w:val="auto"/>
          <w:sz w:val="32"/>
          <w:szCs w:val="32"/>
          <w:highlight w:val="none"/>
        </w:rPr>
        <w:fldChar w:fldCharType="separate"/>
      </w:r>
      <w:r>
        <w:rPr>
          <w:rFonts w:eastAsia="楷体_GB2312"/>
          <w:color w:val="auto"/>
          <w:sz w:val="32"/>
          <w:szCs w:val="32"/>
          <w:highlight w:val="none"/>
        </w:rPr>
        <w:t>1</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"_Toc19158" </w:instrText>
      </w:r>
      <w:r>
        <w:rPr>
          <w:color w:val="auto"/>
          <w:highlight w:val="none"/>
        </w:rPr>
        <w:fldChar w:fldCharType="separate"/>
      </w:r>
      <w:r>
        <w:rPr>
          <w:rFonts w:eastAsia="楷体_GB2312"/>
          <w:color w:val="auto"/>
          <w:sz w:val="32"/>
          <w:szCs w:val="32"/>
          <w:highlight w:val="none"/>
        </w:rPr>
        <w:t>（二）重点投资领域建设成效显著</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_Toc19158 \h </w:instrText>
      </w:r>
      <w:r>
        <w:rPr>
          <w:rFonts w:eastAsia="楷体_GB2312"/>
          <w:color w:val="auto"/>
          <w:sz w:val="32"/>
          <w:szCs w:val="32"/>
          <w:highlight w:val="none"/>
        </w:rPr>
        <w:fldChar w:fldCharType="separate"/>
      </w:r>
      <w:r>
        <w:rPr>
          <w:rFonts w:eastAsia="楷体_GB2312"/>
          <w:color w:val="auto"/>
          <w:sz w:val="32"/>
          <w:szCs w:val="32"/>
          <w:highlight w:val="none"/>
        </w:rPr>
        <w:t>3</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"_Toc5332" </w:instrText>
      </w:r>
      <w:r>
        <w:rPr>
          <w:color w:val="auto"/>
          <w:highlight w:val="none"/>
        </w:rPr>
        <w:fldChar w:fldCharType="separate"/>
      </w:r>
      <w:r>
        <w:rPr>
          <w:rFonts w:eastAsia="楷体_GB2312"/>
          <w:color w:val="auto"/>
          <w:sz w:val="32"/>
          <w:szCs w:val="32"/>
          <w:highlight w:val="none"/>
        </w:rPr>
        <w:t>（三）投资体制机制不断完善</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_Toc5332 \h </w:instrText>
      </w:r>
      <w:r>
        <w:rPr>
          <w:rFonts w:eastAsia="楷体_GB2312"/>
          <w:color w:val="auto"/>
          <w:sz w:val="32"/>
          <w:szCs w:val="32"/>
          <w:highlight w:val="none"/>
        </w:rPr>
        <w:fldChar w:fldCharType="separate"/>
      </w:r>
      <w:r>
        <w:rPr>
          <w:rFonts w:eastAsia="楷体_GB2312"/>
          <w:color w:val="auto"/>
          <w:sz w:val="32"/>
          <w:szCs w:val="32"/>
          <w:highlight w:val="none"/>
        </w:rPr>
        <w:t>6</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0"/>
        <w:tabs>
          <w:tab w:val="right" w:leader="dot" w:pos="8300"/>
        </w:tabs>
        <w:spacing w:line="500" w:lineRule="exact"/>
        <w:rPr>
          <w:rFonts w:eastAsia="黑体"/>
          <w:color w:val="auto"/>
          <w:sz w:val="32"/>
          <w:szCs w:val="32"/>
          <w:highlight w:val="none"/>
        </w:rPr>
      </w:pPr>
      <w:r>
        <w:rPr>
          <w:color w:val="auto"/>
          <w:highlight w:val="none"/>
        </w:rPr>
        <w:fldChar w:fldCharType="begin"/>
      </w:r>
      <w:r>
        <w:rPr>
          <w:color w:val="auto"/>
          <w:highlight w:val="none"/>
        </w:rPr>
        <w:instrText xml:space="preserve"> HYPERLINK \l "_Toc1860" </w:instrText>
      </w:r>
      <w:r>
        <w:rPr>
          <w:color w:val="auto"/>
          <w:highlight w:val="none"/>
        </w:rPr>
        <w:fldChar w:fldCharType="separate"/>
      </w:r>
      <w:r>
        <w:rPr>
          <w:rFonts w:eastAsia="黑体"/>
          <w:color w:val="auto"/>
          <w:sz w:val="32"/>
          <w:szCs w:val="32"/>
          <w:highlight w:val="none"/>
        </w:rPr>
        <w:t>二、发展环境</w:t>
      </w:r>
      <w:r>
        <w:rPr>
          <w:rFonts w:eastAsia="黑体"/>
          <w:color w:val="auto"/>
          <w:sz w:val="32"/>
          <w:szCs w:val="32"/>
          <w:highlight w:val="none"/>
        </w:rPr>
        <w:tab/>
      </w:r>
      <w:r>
        <w:rPr>
          <w:rFonts w:eastAsia="黑体"/>
          <w:color w:val="auto"/>
          <w:sz w:val="32"/>
          <w:szCs w:val="32"/>
          <w:highlight w:val="none"/>
        </w:rPr>
        <w:fldChar w:fldCharType="begin"/>
      </w:r>
      <w:r>
        <w:rPr>
          <w:rFonts w:eastAsia="黑体"/>
          <w:color w:val="auto"/>
          <w:sz w:val="32"/>
          <w:szCs w:val="32"/>
          <w:highlight w:val="none"/>
        </w:rPr>
        <w:instrText xml:space="preserve"> PAGEREF _Toc1860 \h </w:instrText>
      </w:r>
      <w:r>
        <w:rPr>
          <w:rFonts w:eastAsia="黑体"/>
          <w:color w:val="auto"/>
          <w:sz w:val="32"/>
          <w:szCs w:val="32"/>
          <w:highlight w:val="none"/>
        </w:rPr>
        <w:fldChar w:fldCharType="separate"/>
      </w:r>
      <w:r>
        <w:rPr>
          <w:rFonts w:eastAsia="黑体"/>
          <w:color w:val="auto"/>
          <w:sz w:val="32"/>
          <w:szCs w:val="32"/>
          <w:highlight w:val="none"/>
        </w:rPr>
        <w:t>8</w:t>
      </w:r>
      <w:r>
        <w:rPr>
          <w:rFonts w:eastAsia="黑体"/>
          <w:color w:val="auto"/>
          <w:sz w:val="32"/>
          <w:szCs w:val="32"/>
          <w:highlight w:val="none"/>
        </w:rPr>
        <w:fldChar w:fldCharType="end"/>
      </w:r>
      <w:r>
        <w:rPr>
          <w:rFonts w:eastAsia="黑体"/>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"_Toc3559" </w:instrText>
      </w:r>
      <w:r>
        <w:rPr>
          <w:color w:val="auto"/>
          <w:highlight w:val="none"/>
        </w:rPr>
        <w:fldChar w:fldCharType="separate"/>
      </w:r>
      <w:r>
        <w:rPr>
          <w:rFonts w:eastAsia="楷体_GB2312"/>
          <w:color w:val="auto"/>
          <w:sz w:val="32"/>
          <w:szCs w:val="32"/>
          <w:highlight w:val="none"/>
        </w:rPr>
        <w:t>（一）重大机遇</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_Toc3559 \h </w:instrText>
      </w:r>
      <w:r>
        <w:rPr>
          <w:rFonts w:eastAsia="楷体_GB2312"/>
          <w:color w:val="auto"/>
          <w:sz w:val="32"/>
          <w:szCs w:val="32"/>
          <w:highlight w:val="none"/>
        </w:rPr>
        <w:fldChar w:fldCharType="separate"/>
      </w:r>
      <w:r>
        <w:rPr>
          <w:rFonts w:eastAsia="楷体_GB2312"/>
          <w:color w:val="auto"/>
          <w:sz w:val="32"/>
          <w:szCs w:val="32"/>
          <w:highlight w:val="none"/>
        </w:rPr>
        <w:t>8</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"_Toc12953" </w:instrText>
      </w:r>
      <w:r>
        <w:rPr>
          <w:color w:val="auto"/>
          <w:highlight w:val="none"/>
        </w:rPr>
        <w:fldChar w:fldCharType="separate"/>
      </w:r>
      <w:r>
        <w:rPr>
          <w:rFonts w:eastAsia="楷体_GB2312"/>
          <w:color w:val="auto"/>
          <w:sz w:val="32"/>
          <w:szCs w:val="32"/>
          <w:highlight w:val="none"/>
        </w:rPr>
        <w:t>（二）面临挑战</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_Toc12953 \h </w:instrText>
      </w:r>
      <w:r>
        <w:rPr>
          <w:rFonts w:eastAsia="楷体_GB2312"/>
          <w:color w:val="auto"/>
          <w:sz w:val="32"/>
          <w:szCs w:val="32"/>
          <w:highlight w:val="none"/>
        </w:rPr>
        <w:fldChar w:fldCharType="separate"/>
      </w:r>
      <w:r>
        <w:rPr>
          <w:rFonts w:eastAsia="楷体_GB2312"/>
          <w:color w:val="auto"/>
          <w:sz w:val="32"/>
          <w:szCs w:val="32"/>
          <w:highlight w:val="none"/>
        </w:rPr>
        <w:t>10</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0"/>
        <w:tabs>
          <w:tab w:val="right" w:leader="dot" w:pos="8300"/>
        </w:tabs>
        <w:spacing w:line="500" w:lineRule="exact"/>
        <w:rPr>
          <w:rFonts w:eastAsia="黑体"/>
          <w:color w:val="auto"/>
          <w:sz w:val="32"/>
          <w:szCs w:val="32"/>
          <w:highlight w:val="none"/>
        </w:rPr>
      </w:pPr>
      <w:r>
        <w:rPr>
          <w:color w:val="auto"/>
          <w:highlight w:val="none"/>
        </w:rPr>
        <w:fldChar w:fldCharType="begin"/>
      </w:r>
      <w:r>
        <w:rPr>
          <w:color w:val="auto"/>
          <w:highlight w:val="none"/>
        </w:rPr>
        <w:instrText xml:space="preserve"> HYPERLINK \l "_Toc25443" </w:instrText>
      </w:r>
      <w:r>
        <w:rPr>
          <w:color w:val="auto"/>
          <w:highlight w:val="none"/>
        </w:rPr>
        <w:fldChar w:fldCharType="separate"/>
      </w:r>
      <w:r>
        <w:rPr>
          <w:rFonts w:eastAsia="黑体"/>
          <w:color w:val="auto"/>
          <w:sz w:val="32"/>
          <w:szCs w:val="32"/>
          <w:highlight w:val="none"/>
        </w:rPr>
        <w:t>三、总体思路</w:t>
      </w:r>
      <w:r>
        <w:rPr>
          <w:rFonts w:eastAsia="黑体"/>
          <w:color w:val="auto"/>
          <w:sz w:val="32"/>
          <w:szCs w:val="32"/>
          <w:highlight w:val="none"/>
        </w:rPr>
        <w:tab/>
      </w:r>
      <w:r>
        <w:rPr>
          <w:rFonts w:eastAsia="黑体"/>
          <w:color w:val="auto"/>
          <w:sz w:val="32"/>
          <w:szCs w:val="32"/>
          <w:highlight w:val="none"/>
        </w:rPr>
        <w:fldChar w:fldCharType="begin"/>
      </w:r>
      <w:r>
        <w:rPr>
          <w:rFonts w:eastAsia="黑体"/>
          <w:color w:val="auto"/>
          <w:sz w:val="32"/>
          <w:szCs w:val="32"/>
          <w:highlight w:val="none"/>
        </w:rPr>
        <w:instrText xml:space="preserve"> PAGEREF _Toc25443 \h </w:instrText>
      </w:r>
      <w:r>
        <w:rPr>
          <w:rFonts w:eastAsia="黑体"/>
          <w:color w:val="auto"/>
          <w:sz w:val="32"/>
          <w:szCs w:val="32"/>
          <w:highlight w:val="none"/>
        </w:rPr>
        <w:fldChar w:fldCharType="separate"/>
      </w:r>
      <w:r>
        <w:rPr>
          <w:rFonts w:eastAsia="黑体"/>
          <w:color w:val="auto"/>
          <w:sz w:val="32"/>
          <w:szCs w:val="32"/>
          <w:highlight w:val="none"/>
        </w:rPr>
        <w:t>11</w:t>
      </w:r>
      <w:r>
        <w:rPr>
          <w:rFonts w:eastAsia="黑体"/>
          <w:color w:val="auto"/>
          <w:sz w:val="32"/>
          <w:szCs w:val="32"/>
          <w:highlight w:val="none"/>
        </w:rPr>
        <w:fldChar w:fldCharType="end"/>
      </w:r>
      <w:r>
        <w:rPr>
          <w:rFonts w:eastAsia="黑体"/>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"_Toc23124" </w:instrText>
      </w:r>
      <w:r>
        <w:rPr>
          <w:color w:val="auto"/>
          <w:highlight w:val="none"/>
        </w:rPr>
        <w:fldChar w:fldCharType="separate"/>
      </w:r>
      <w:r>
        <w:rPr>
          <w:rFonts w:eastAsia="楷体_GB2312"/>
          <w:color w:val="auto"/>
          <w:sz w:val="32"/>
          <w:szCs w:val="32"/>
          <w:highlight w:val="none"/>
        </w:rPr>
        <w:t>（一）指导思想</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_Toc23124 \h </w:instrText>
      </w:r>
      <w:r>
        <w:rPr>
          <w:rFonts w:eastAsia="楷体_GB2312"/>
          <w:color w:val="auto"/>
          <w:sz w:val="32"/>
          <w:szCs w:val="32"/>
          <w:highlight w:val="none"/>
        </w:rPr>
        <w:fldChar w:fldCharType="separate"/>
      </w:r>
      <w:r>
        <w:rPr>
          <w:rFonts w:eastAsia="楷体_GB2312"/>
          <w:color w:val="auto"/>
          <w:sz w:val="32"/>
          <w:szCs w:val="32"/>
          <w:highlight w:val="none"/>
        </w:rPr>
        <w:t>11</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"_Toc26567" </w:instrText>
      </w:r>
      <w:r>
        <w:rPr>
          <w:color w:val="auto"/>
          <w:highlight w:val="none"/>
        </w:rPr>
        <w:fldChar w:fldCharType="separate"/>
      </w:r>
      <w:r>
        <w:rPr>
          <w:rFonts w:eastAsia="楷体_GB2312"/>
          <w:color w:val="auto"/>
          <w:sz w:val="32"/>
          <w:szCs w:val="32"/>
          <w:highlight w:val="none"/>
        </w:rPr>
        <w:t>（二）基本原则</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_Toc26567 \h </w:instrText>
      </w:r>
      <w:r>
        <w:rPr>
          <w:rFonts w:eastAsia="楷体_GB2312"/>
          <w:color w:val="auto"/>
          <w:sz w:val="32"/>
          <w:szCs w:val="32"/>
          <w:highlight w:val="none"/>
        </w:rPr>
        <w:fldChar w:fldCharType="separate"/>
      </w:r>
      <w:r>
        <w:rPr>
          <w:rFonts w:eastAsia="楷体_GB2312"/>
          <w:color w:val="auto"/>
          <w:sz w:val="32"/>
          <w:szCs w:val="32"/>
          <w:highlight w:val="none"/>
        </w:rPr>
        <w:t>11</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"_Toc32267" </w:instrText>
      </w:r>
      <w:r>
        <w:rPr>
          <w:color w:val="auto"/>
          <w:highlight w:val="none"/>
        </w:rPr>
        <w:fldChar w:fldCharType="separate"/>
      </w:r>
      <w:r>
        <w:rPr>
          <w:rFonts w:eastAsia="楷体_GB2312"/>
          <w:color w:val="auto"/>
          <w:sz w:val="32"/>
          <w:szCs w:val="32"/>
          <w:highlight w:val="none"/>
        </w:rPr>
        <w:t>（三）总体目标</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_Toc32267 \h </w:instrText>
      </w:r>
      <w:r>
        <w:rPr>
          <w:rFonts w:eastAsia="楷体_GB2312"/>
          <w:color w:val="auto"/>
          <w:sz w:val="32"/>
          <w:szCs w:val="32"/>
          <w:highlight w:val="none"/>
        </w:rPr>
        <w:fldChar w:fldCharType="separate"/>
      </w:r>
      <w:r>
        <w:rPr>
          <w:rFonts w:eastAsia="楷体_GB2312"/>
          <w:color w:val="auto"/>
          <w:sz w:val="32"/>
          <w:szCs w:val="32"/>
          <w:highlight w:val="none"/>
        </w:rPr>
        <w:t>12</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0"/>
        <w:tabs>
          <w:tab w:val="right" w:leader="dot" w:pos="8300"/>
        </w:tabs>
        <w:spacing w:line="500" w:lineRule="exact"/>
        <w:rPr>
          <w:rFonts w:eastAsia="黑体"/>
          <w:color w:val="auto"/>
          <w:sz w:val="32"/>
          <w:szCs w:val="32"/>
          <w:highlight w:val="none"/>
        </w:rPr>
      </w:pPr>
      <w:r>
        <w:rPr>
          <w:color w:val="auto"/>
          <w:highlight w:val="none"/>
        </w:rPr>
        <w:fldChar w:fldCharType="begin"/>
      </w:r>
      <w:r>
        <w:rPr>
          <w:color w:val="auto"/>
          <w:highlight w:val="none"/>
        </w:rPr>
        <w:instrText xml:space="preserve"> HYPERLINK \l "_Toc32538" </w:instrText>
      </w:r>
      <w:r>
        <w:rPr>
          <w:color w:val="auto"/>
          <w:highlight w:val="none"/>
        </w:rPr>
        <w:fldChar w:fldCharType="separate"/>
      </w:r>
      <w:r>
        <w:rPr>
          <w:rFonts w:eastAsia="黑体"/>
          <w:color w:val="auto"/>
          <w:sz w:val="32"/>
          <w:szCs w:val="32"/>
          <w:highlight w:val="none"/>
        </w:rPr>
        <w:t>四、主要任务</w:t>
      </w:r>
      <w:r>
        <w:rPr>
          <w:rFonts w:eastAsia="黑体"/>
          <w:color w:val="auto"/>
          <w:sz w:val="32"/>
          <w:szCs w:val="32"/>
          <w:highlight w:val="none"/>
        </w:rPr>
        <w:tab/>
      </w:r>
      <w:r>
        <w:rPr>
          <w:rFonts w:eastAsia="黑体"/>
          <w:color w:val="auto"/>
          <w:sz w:val="32"/>
          <w:szCs w:val="32"/>
          <w:highlight w:val="none"/>
        </w:rPr>
        <w:fldChar w:fldCharType="begin"/>
      </w:r>
      <w:r>
        <w:rPr>
          <w:rFonts w:eastAsia="黑体"/>
          <w:color w:val="auto"/>
          <w:sz w:val="32"/>
          <w:szCs w:val="32"/>
          <w:highlight w:val="none"/>
        </w:rPr>
        <w:instrText xml:space="preserve"> PAGEREF _Toc32538 \h </w:instrText>
      </w:r>
      <w:r>
        <w:rPr>
          <w:rFonts w:eastAsia="黑体"/>
          <w:color w:val="auto"/>
          <w:sz w:val="32"/>
          <w:szCs w:val="32"/>
          <w:highlight w:val="none"/>
        </w:rPr>
        <w:fldChar w:fldCharType="separate"/>
      </w:r>
      <w:r>
        <w:rPr>
          <w:rFonts w:eastAsia="黑体"/>
          <w:color w:val="auto"/>
          <w:sz w:val="32"/>
          <w:szCs w:val="32"/>
          <w:highlight w:val="none"/>
        </w:rPr>
        <w:t>13</w:t>
      </w:r>
      <w:r>
        <w:rPr>
          <w:rFonts w:eastAsia="黑体"/>
          <w:color w:val="auto"/>
          <w:sz w:val="32"/>
          <w:szCs w:val="32"/>
          <w:highlight w:val="none"/>
        </w:rPr>
        <w:fldChar w:fldCharType="end"/>
      </w:r>
      <w:r>
        <w:rPr>
          <w:rFonts w:eastAsia="黑体"/>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"_Toc29001" </w:instrText>
      </w:r>
      <w:r>
        <w:rPr>
          <w:color w:val="auto"/>
          <w:highlight w:val="none"/>
        </w:rPr>
        <w:fldChar w:fldCharType="separate"/>
      </w:r>
      <w:r>
        <w:rPr>
          <w:rFonts w:eastAsia="楷体_GB2312"/>
          <w:color w:val="auto"/>
          <w:sz w:val="32"/>
          <w:szCs w:val="32"/>
          <w:highlight w:val="none"/>
        </w:rPr>
        <w:t>（一）产业转型领域</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_Toc29001 \h </w:instrText>
      </w:r>
      <w:r>
        <w:rPr>
          <w:rFonts w:eastAsia="楷体_GB2312"/>
          <w:color w:val="auto"/>
          <w:sz w:val="32"/>
          <w:szCs w:val="32"/>
          <w:highlight w:val="none"/>
        </w:rPr>
        <w:fldChar w:fldCharType="separate"/>
      </w:r>
      <w:r>
        <w:rPr>
          <w:rFonts w:eastAsia="楷体_GB2312"/>
          <w:color w:val="auto"/>
          <w:sz w:val="32"/>
          <w:szCs w:val="32"/>
          <w:highlight w:val="none"/>
        </w:rPr>
        <w:t>13</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"_Toc14293" </w:instrText>
      </w:r>
      <w:r>
        <w:rPr>
          <w:color w:val="auto"/>
          <w:highlight w:val="none"/>
        </w:rPr>
        <w:fldChar w:fldCharType="separate"/>
      </w:r>
      <w:r>
        <w:rPr>
          <w:rFonts w:eastAsia="楷体_GB2312"/>
          <w:color w:val="auto"/>
          <w:sz w:val="32"/>
          <w:szCs w:val="32"/>
          <w:highlight w:val="none"/>
        </w:rPr>
        <w:t>（二）交通设施领域</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_Toc14293 \h </w:instrText>
      </w:r>
      <w:r>
        <w:rPr>
          <w:rFonts w:eastAsia="楷体_GB2312"/>
          <w:color w:val="auto"/>
          <w:sz w:val="32"/>
          <w:szCs w:val="32"/>
          <w:highlight w:val="none"/>
        </w:rPr>
        <w:fldChar w:fldCharType="separate"/>
      </w:r>
      <w:r>
        <w:rPr>
          <w:rFonts w:eastAsia="楷体_GB2312"/>
          <w:color w:val="auto"/>
          <w:sz w:val="32"/>
          <w:szCs w:val="32"/>
          <w:highlight w:val="none"/>
        </w:rPr>
        <w:t>16</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"_Toc21850" </w:instrText>
      </w:r>
      <w:r>
        <w:rPr>
          <w:color w:val="auto"/>
          <w:highlight w:val="none"/>
        </w:rPr>
        <w:fldChar w:fldCharType="separate"/>
      </w:r>
      <w:r>
        <w:rPr>
          <w:rFonts w:eastAsia="楷体_GB2312"/>
          <w:color w:val="auto"/>
          <w:sz w:val="32"/>
          <w:szCs w:val="32"/>
          <w:highlight w:val="none"/>
        </w:rPr>
        <w:t>（三）城乡统筹领域</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_Toc21850 \h </w:instrText>
      </w:r>
      <w:r>
        <w:rPr>
          <w:rFonts w:eastAsia="楷体_GB2312"/>
          <w:color w:val="auto"/>
          <w:sz w:val="32"/>
          <w:szCs w:val="32"/>
          <w:highlight w:val="none"/>
        </w:rPr>
        <w:fldChar w:fldCharType="separate"/>
      </w:r>
      <w:r>
        <w:rPr>
          <w:rFonts w:eastAsia="楷体_GB2312"/>
          <w:color w:val="auto"/>
          <w:sz w:val="32"/>
          <w:szCs w:val="32"/>
          <w:highlight w:val="none"/>
        </w:rPr>
        <w:t>19</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"_Toc4095" </w:instrText>
      </w:r>
      <w:r>
        <w:rPr>
          <w:color w:val="auto"/>
          <w:highlight w:val="none"/>
        </w:rPr>
        <w:fldChar w:fldCharType="separate"/>
      </w:r>
      <w:r>
        <w:rPr>
          <w:rFonts w:eastAsia="楷体_GB2312"/>
          <w:color w:val="auto"/>
          <w:sz w:val="32"/>
          <w:szCs w:val="32"/>
          <w:highlight w:val="none"/>
        </w:rPr>
        <w:t>（四）生态环保领域</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_Toc4095 \h </w:instrText>
      </w:r>
      <w:r>
        <w:rPr>
          <w:rFonts w:eastAsia="楷体_GB2312"/>
          <w:color w:val="auto"/>
          <w:sz w:val="32"/>
          <w:szCs w:val="32"/>
          <w:highlight w:val="none"/>
        </w:rPr>
        <w:fldChar w:fldCharType="separate"/>
      </w:r>
      <w:r>
        <w:rPr>
          <w:rFonts w:eastAsia="楷体_GB2312"/>
          <w:color w:val="auto"/>
          <w:sz w:val="32"/>
          <w:szCs w:val="32"/>
          <w:highlight w:val="none"/>
        </w:rPr>
        <w:t>21</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"_Toc12904" </w:instrText>
      </w:r>
      <w:r>
        <w:rPr>
          <w:color w:val="auto"/>
          <w:highlight w:val="none"/>
        </w:rPr>
        <w:fldChar w:fldCharType="separate"/>
      </w:r>
      <w:r>
        <w:rPr>
          <w:rFonts w:eastAsia="楷体_GB2312"/>
          <w:color w:val="auto"/>
          <w:sz w:val="32"/>
          <w:szCs w:val="32"/>
          <w:highlight w:val="none"/>
        </w:rPr>
        <w:t>（五）公共服务领域</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_Toc12904 \h </w:instrText>
      </w:r>
      <w:r>
        <w:rPr>
          <w:rFonts w:eastAsia="楷体_GB2312"/>
          <w:color w:val="auto"/>
          <w:sz w:val="32"/>
          <w:szCs w:val="32"/>
          <w:highlight w:val="none"/>
        </w:rPr>
        <w:fldChar w:fldCharType="separate"/>
      </w:r>
      <w:r>
        <w:rPr>
          <w:rFonts w:eastAsia="楷体_GB2312"/>
          <w:color w:val="auto"/>
          <w:sz w:val="32"/>
          <w:szCs w:val="32"/>
          <w:highlight w:val="none"/>
        </w:rPr>
        <w:t>24</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0"/>
        <w:tabs>
          <w:tab w:val="right" w:leader="dot" w:pos="8300"/>
        </w:tabs>
        <w:spacing w:line="500" w:lineRule="exact"/>
        <w:rPr>
          <w:rFonts w:eastAsia="黑体"/>
          <w:color w:val="auto"/>
          <w:sz w:val="32"/>
          <w:szCs w:val="32"/>
          <w:highlight w:val="none"/>
        </w:rPr>
      </w:pPr>
      <w:r>
        <w:rPr>
          <w:color w:val="auto"/>
          <w:highlight w:val="none"/>
        </w:rPr>
        <w:fldChar w:fldCharType="begin"/>
      </w:r>
      <w:r>
        <w:rPr>
          <w:color w:val="auto"/>
          <w:highlight w:val="none"/>
        </w:rPr>
        <w:instrText xml:space="preserve"> HYPERLINK \l "_Toc28752" </w:instrText>
      </w:r>
      <w:r>
        <w:rPr>
          <w:color w:val="auto"/>
          <w:highlight w:val="none"/>
        </w:rPr>
        <w:fldChar w:fldCharType="separate"/>
      </w:r>
      <w:r>
        <w:rPr>
          <w:rFonts w:eastAsia="黑体"/>
          <w:color w:val="auto"/>
          <w:sz w:val="32"/>
          <w:szCs w:val="32"/>
          <w:highlight w:val="none"/>
        </w:rPr>
        <w:t>五、支撑政策</w:t>
      </w:r>
      <w:r>
        <w:rPr>
          <w:rFonts w:eastAsia="黑体"/>
          <w:color w:val="auto"/>
          <w:sz w:val="32"/>
          <w:szCs w:val="32"/>
          <w:highlight w:val="none"/>
        </w:rPr>
        <w:tab/>
      </w:r>
      <w:r>
        <w:rPr>
          <w:rFonts w:eastAsia="黑体"/>
          <w:color w:val="auto"/>
          <w:sz w:val="32"/>
          <w:szCs w:val="32"/>
          <w:highlight w:val="none"/>
        </w:rPr>
        <w:fldChar w:fldCharType="begin"/>
      </w:r>
      <w:r>
        <w:rPr>
          <w:rFonts w:eastAsia="黑体"/>
          <w:color w:val="auto"/>
          <w:sz w:val="32"/>
          <w:szCs w:val="32"/>
          <w:highlight w:val="none"/>
        </w:rPr>
        <w:instrText xml:space="preserve"> PAGEREF _Toc28752 \h </w:instrText>
      </w:r>
      <w:r>
        <w:rPr>
          <w:rFonts w:eastAsia="黑体"/>
          <w:color w:val="auto"/>
          <w:sz w:val="32"/>
          <w:szCs w:val="32"/>
          <w:highlight w:val="none"/>
        </w:rPr>
        <w:fldChar w:fldCharType="separate"/>
      </w:r>
      <w:r>
        <w:rPr>
          <w:rFonts w:eastAsia="黑体"/>
          <w:color w:val="auto"/>
          <w:sz w:val="32"/>
          <w:szCs w:val="32"/>
          <w:highlight w:val="none"/>
        </w:rPr>
        <w:t>26</w:t>
      </w:r>
      <w:r>
        <w:rPr>
          <w:rFonts w:eastAsia="黑体"/>
          <w:color w:val="auto"/>
          <w:sz w:val="32"/>
          <w:szCs w:val="32"/>
          <w:highlight w:val="none"/>
        </w:rPr>
        <w:fldChar w:fldCharType="end"/>
      </w:r>
      <w:r>
        <w:rPr>
          <w:rFonts w:eastAsia="黑体"/>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"_Toc12956" </w:instrText>
      </w:r>
      <w:r>
        <w:rPr>
          <w:color w:val="auto"/>
          <w:highlight w:val="none"/>
        </w:rPr>
        <w:fldChar w:fldCharType="separate"/>
      </w:r>
      <w:r>
        <w:rPr>
          <w:rFonts w:eastAsia="楷体_GB2312"/>
          <w:color w:val="auto"/>
          <w:sz w:val="32"/>
          <w:szCs w:val="32"/>
          <w:highlight w:val="none"/>
        </w:rPr>
        <w:t>（一）深化投融资机制改革</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_Toc12956 \h </w:instrText>
      </w:r>
      <w:r>
        <w:rPr>
          <w:rFonts w:eastAsia="楷体_GB2312"/>
          <w:color w:val="auto"/>
          <w:sz w:val="32"/>
          <w:szCs w:val="32"/>
          <w:highlight w:val="none"/>
        </w:rPr>
        <w:fldChar w:fldCharType="separate"/>
      </w:r>
      <w:r>
        <w:rPr>
          <w:rFonts w:eastAsia="楷体_GB2312"/>
          <w:color w:val="auto"/>
          <w:sz w:val="32"/>
          <w:szCs w:val="32"/>
          <w:highlight w:val="none"/>
        </w:rPr>
        <w:t>26</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"_Toc30046" </w:instrText>
      </w:r>
      <w:r>
        <w:rPr>
          <w:color w:val="auto"/>
          <w:highlight w:val="none"/>
        </w:rPr>
        <w:fldChar w:fldCharType="separate"/>
      </w:r>
      <w:r>
        <w:rPr>
          <w:rFonts w:eastAsia="楷体_GB2312"/>
          <w:color w:val="auto"/>
          <w:sz w:val="32"/>
          <w:szCs w:val="32"/>
          <w:highlight w:val="none"/>
        </w:rPr>
        <w:t>（二）充分发挥国资国企平台作用</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_Toc30046 \h </w:instrText>
      </w:r>
      <w:r>
        <w:rPr>
          <w:rFonts w:eastAsia="楷体_GB2312"/>
          <w:color w:val="auto"/>
          <w:sz w:val="32"/>
          <w:szCs w:val="32"/>
          <w:highlight w:val="none"/>
        </w:rPr>
        <w:fldChar w:fldCharType="separate"/>
      </w:r>
      <w:r>
        <w:rPr>
          <w:rFonts w:eastAsia="楷体_GB2312"/>
          <w:color w:val="auto"/>
          <w:sz w:val="32"/>
          <w:szCs w:val="32"/>
          <w:highlight w:val="none"/>
        </w:rPr>
        <w:t>27</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"_Toc22298" </w:instrText>
      </w:r>
      <w:r>
        <w:rPr>
          <w:color w:val="auto"/>
          <w:highlight w:val="none"/>
        </w:rPr>
        <w:fldChar w:fldCharType="separate"/>
      </w:r>
      <w:r>
        <w:rPr>
          <w:rFonts w:eastAsia="楷体_GB2312"/>
          <w:color w:val="auto"/>
          <w:sz w:val="32"/>
          <w:szCs w:val="32"/>
          <w:highlight w:val="none"/>
        </w:rPr>
        <w:t>（三）创新“双招双引”策略</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_Toc22298 \h </w:instrText>
      </w:r>
      <w:r>
        <w:rPr>
          <w:rFonts w:eastAsia="楷体_GB2312"/>
          <w:color w:val="auto"/>
          <w:sz w:val="32"/>
          <w:szCs w:val="32"/>
          <w:highlight w:val="none"/>
        </w:rPr>
        <w:fldChar w:fldCharType="separate"/>
      </w:r>
      <w:r>
        <w:rPr>
          <w:rFonts w:eastAsia="楷体_GB2312"/>
          <w:color w:val="auto"/>
          <w:sz w:val="32"/>
          <w:szCs w:val="32"/>
          <w:highlight w:val="none"/>
        </w:rPr>
        <w:t>28</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"_Toc7954" </w:instrText>
      </w:r>
      <w:r>
        <w:rPr>
          <w:color w:val="auto"/>
          <w:highlight w:val="none"/>
        </w:rPr>
        <w:fldChar w:fldCharType="separate"/>
      </w:r>
      <w:r>
        <w:rPr>
          <w:rFonts w:eastAsia="楷体_GB2312"/>
          <w:color w:val="auto"/>
          <w:sz w:val="32"/>
          <w:szCs w:val="32"/>
          <w:highlight w:val="none"/>
        </w:rPr>
        <w:t>（四）优化投资营商环境</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_Toc7954 \h </w:instrText>
      </w:r>
      <w:r>
        <w:rPr>
          <w:rFonts w:eastAsia="楷体_GB2312"/>
          <w:color w:val="auto"/>
          <w:sz w:val="32"/>
          <w:szCs w:val="32"/>
          <w:highlight w:val="none"/>
        </w:rPr>
        <w:fldChar w:fldCharType="separate"/>
      </w:r>
      <w:r>
        <w:rPr>
          <w:rFonts w:eastAsia="楷体_GB2312"/>
          <w:color w:val="auto"/>
          <w:sz w:val="32"/>
          <w:szCs w:val="32"/>
          <w:highlight w:val="none"/>
        </w:rPr>
        <w:t>28</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0"/>
        <w:tabs>
          <w:tab w:val="right" w:leader="dot" w:pos="8300"/>
        </w:tabs>
        <w:spacing w:line="500" w:lineRule="exact"/>
        <w:rPr>
          <w:rFonts w:eastAsia="黑体"/>
          <w:color w:val="auto"/>
          <w:sz w:val="32"/>
          <w:szCs w:val="32"/>
          <w:highlight w:val="none"/>
        </w:rPr>
      </w:pPr>
      <w:r>
        <w:rPr>
          <w:color w:val="auto"/>
          <w:highlight w:val="none"/>
        </w:rPr>
        <w:fldChar w:fldCharType="begin"/>
      </w:r>
      <w:r>
        <w:rPr>
          <w:color w:val="auto"/>
          <w:highlight w:val="none"/>
        </w:rPr>
        <w:instrText xml:space="preserve"> HYPERLINK \l "_Toc32275" </w:instrText>
      </w:r>
      <w:r>
        <w:rPr>
          <w:color w:val="auto"/>
          <w:highlight w:val="none"/>
        </w:rPr>
        <w:fldChar w:fldCharType="separate"/>
      </w:r>
      <w:r>
        <w:rPr>
          <w:rFonts w:eastAsia="黑体"/>
          <w:color w:val="auto"/>
          <w:sz w:val="32"/>
          <w:szCs w:val="32"/>
          <w:highlight w:val="none"/>
        </w:rPr>
        <w:t>六、保障措施</w:t>
      </w:r>
      <w:r>
        <w:rPr>
          <w:rFonts w:eastAsia="黑体"/>
          <w:color w:val="auto"/>
          <w:sz w:val="32"/>
          <w:szCs w:val="32"/>
          <w:highlight w:val="none"/>
        </w:rPr>
        <w:tab/>
      </w:r>
      <w:r>
        <w:rPr>
          <w:rFonts w:eastAsia="黑体"/>
          <w:color w:val="auto"/>
          <w:sz w:val="32"/>
          <w:szCs w:val="32"/>
          <w:highlight w:val="none"/>
        </w:rPr>
        <w:fldChar w:fldCharType="begin"/>
      </w:r>
      <w:r>
        <w:rPr>
          <w:rFonts w:eastAsia="黑体"/>
          <w:color w:val="auto"/>
          <w:sz w:val="32"/>
          <w:szCs w:val="32"/>
          <w:highlight w:val="none"/>
        </w:rPr>
        <w:instrText xml:space="preserve"> PAGEREF _Toc32275 \h </w:instrText>
      </w:r>
      <w:r>
        <w:rPr>
          <w:rFonts w:eastAsia="黑体"/>
          <w:color w:val="auto"/>
          <w:sz w:val="32"/>
          <w:szCs w:val="32"/>
          <w:highlight w:val="none"/>
        </w:rPr>
        <w:fldChar w:fldCharType="separate"/>
      </w:r>
      <w:r>
        <w:rPr>
          <w:rFonts w:eastAsia="黑体"/>
          <w:color w:val="auto"/>
          <w:sz w:val="32"/>
          <w:szCs w:val="32"/>
          <w:highlight w:val="none"/>
        </w:rPr>
        <w:t>29</w:t>
      </w:r>
      <w:r>
        <w:rPr>
          <w:rFonts w:eastAsia="黑体"/>
          <w:color w:val="auto"/>
          <w:sz w:val="32"/>
          <w:szCs w:val="32"/>
          <w:highlight w:val="none"/>
        </w:rPr>
        <w:fldChar w:fldCharType="end"/>
      </w:r>
      <w:r>
        <w:rPr>
          <w:rFonts w:eastAsia="黑体"/>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"_Toc258" </w:instrText>
      </w:r>
      <w:r>
        <w:rPr>
          <w:color w:val="auto"/>
          <w:highlight w:val="none"/>
        </w:rPr>
        <w:fldChar w:fldCharType="separate"/>
      </w:r>
      <w:r>
        <w:rPr>
          <w:rFonts w:eastAsia="楷体_GB2312"/>
          <w:color w:val="auto"/>
          <w:sz w:val="32"/>
          <w:szCs w:val="32"/>
          <w:highlight w:val="none"/>
        </w:rPr>
        <w:t>（一）加强组织协调</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_Toc258 \h </w:instrText>
      </w:r>
      <w:r>
        <w:rPr>
          <w:rFonts w:eastAsia="楷体_GB2312"/>
          <w:color w:val="auto"/>
          <w:sz w:val="32"/>
          <w:szCs w:val="32"/>
          <w:highlight w:val="none"/>
        </w:rPr>
        <w:fldChar w:fldCharType="separate"/>
      </w:r>
      <w:r>
        <w:rPr>
          <w:rFonts w:eastAsia="楷体_GB2312"/>
          <w:color w:val="auto"/>
          <w:sz w:val="32"/>
          <w:szCs w:val="32"/>
          <w:highlight w:val="none"/>
        </w:rPr>
        <w:t>29</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"_Toc2634" </w:instrText>
      </w:r>
      <w:r>
        <w:rPr>
          <w:color w:val="auto"/>
          <w:highlight w:val="none"/>
        </w:rPr>
        <w:fldChar w:fldCharType="separate"/>
      </w:r>
      <w:r>
        <w:rPr>
          <w:rFonts w:eastAsia="楷体_GB2312"/>
          <w:color w:val="auto"/>
          <w:sz w:val="32"/>
          <w:szCs w:val="32"/>
          <w:highlight w:val="none"/>
        </w:rPr>
        <w:t>（二）强化用地保障</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_Toc2634 \h </w:instrText>
      </w:r>
      <w:r>
        <w:rPr>
          <w:rFonts w:eastAsia="楷体_GB2312"/>
          <w:color w:val="auto"/>
          <w:sz w:val="32"/>
          <w:szCs w:val="32"/>
          <w:highlight w:val="none"/>
        </w:rPr>
        <w:fldChar w:fldCharType="separate"/>
      </w:r>
      <w:r>
        <w:rPr>
          <w:rFonts w:eastAsia="楷体_GB2312"/>
          <w:color w:val="auto"/>
          <w:sz w:val="32"/>
          <w:szCs w:val="32"/>
          <w:highlight w:val="none"/>
        </w:rPr>
        <w:t>29</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pStyle w:val="41"/>
        <w:tabs>
          <w:tab w:val="right" w:leader="dot" w:pos="8300"/>
        </w:tabs>
        <w:spacing w:line="500" w:lineRule="exact"/>
        <w:ind w:left="655"/>
        <w:rPr>
          <w:rFonts w:eastAsia="楷体_GB2312"/>
          <w:color w:val="auto"/>
          <w:sz w:val="32"/>
          <w:szCs w:val="32"/>
          <w:highlight w:val="none"/>
        </w:rPr>
      </w:pPr>
      <w:r>
        <w:rPr>
          <w:color w:val="auto"/>
          <w:highlight w:val="none"/>
        </w:rPr>
        <w:fldChar w:fldCharType="begin"/>
      </w:r>
      <w:r>
        <w:rPr>
          <w:color w:val="auto"/>
          <w:highlight w:val="none"/>
        </w:rPr>
        <w:instrText xml:space="preserve"> HYPERLINK \l "_Toc8805" </w:instrText>
      </w:r>
      <w:r>
        <w:rPr>
          <w:color w:val="auto"/>
          <w:highlight w:val="none"/>
        </w:rPr>
        <w:fldChar w:fldCharType="separate"/>
      </w:r>
      <w:r>
        <w:rPr>
          <w:rFonts w:eastAsia="楷体_GB2312"/>
          <w:color w:val="auto"/>
          <w:sz w:val="32"/>
          <w:szCs w:val="32"/>
          <w:highlight w:val="none"/>
        </w:rPr>
        <w:t>（三）加强考核监督</w:t>
      </w:r>
      <w:r>
        <w:rPr>
          <w:rFonts w:eastAsia="楷体_GB2312"/>
          <w:color w:val="auto"/>
          <w:sz w:val="32"/>
          <w:szCs w:val="32"/>
          <w:highlight w:val="none"/>
        </w:rPr>
        <w:tab/>
      </w:r>
      <w:r>
        <w:rPr>
          <w:rFonts w:eastAsia="楷体_GB2312"/>
          <w:color w:val="auto"/>
          <w:sz w:val="32"/>
          <w:szCs w:val="32"/>
          <w:highlight w:val="none"/>
        </w:rPr>
        <w:fldChar w:fldCharType="begin"/>
      </w:r>
      <w:r>
        <w:rPr>
          <w:rFonts w:eastAsia="楷体_GB2312"/>
          <w:color w:val="auto"/>
          <w:sz w:val="32"/>
          <w:szCs w:val="32"/>
          <w:highlight w:val="none"/>
        </w:rPr>
        <w:instrText xml:space="preserve"> PAGEREF _Toc8805 \h </w:instrText>
      </w:r>
      <w:r>
        <w:rPr>
          <w:rFonts w:eastAsia="楷体_GB2312"/>
          <w:color w:val="auto"/>
          <w:sz w:val="32"/>
          <w:szCs w:val="32"/>
          <w:highlight w:val="none"/>
        </w:rPr>
        <w:fldChar w:fldCharType="separate"/>
      </w:r>
      <w:r>
        <w:rPr>
          <w:rFonts w:eastAsia="楷体_GB2312"/>
          <w:color w:val="auto"/>
          <w:sz w:val="32"/>
          <w:szCs w:val="32"/>
          <w:highlight w:val="none"/>
        </w:rPr>
        <w:t>30</w:t>
      </w:r>
      <w:r>
        <w:rPr>
          <w:rFonts w:eastAsia="楷体_GB2312"/>
          <w:color w:val="auto"/>
          <w:sz w:val="32"/>
          <w:szCs w:val="32"/>
          <w:highlight w:val="none"/>
        </w:rPr>
        <w:fldChar w:fldCharType="end"/>
      </w:r>
      <w:r>
        <w:rPr>
          <w:rFonts w:eastAsia="楷体_GB2312"/>
          <w:color w:val="auto"/>
          <w:sz w:val="32"/>
          <w:szCs w:val="32"/>
          <w:highlight w:val="none"/>
        </w:rPr>
        <w:fldChar w:fldCharType="end"/>
      </w:r>
    </w:p>
    <w:p>
      <w:pPr>
        <w:spacing w:line="580" w:lineRule="exact"/>
        <w:ind w:firstLine="655"/>
        <w:rPr>
          <w:rFonts w:eastAsia="楷体_GB2312" w:cs="Times New Roman"/>
          <w:color w:val="auto"/>
          <w:szCs w:val="32"/>
          <w:highlight w:val="none"/>
        </w:rPr>
        <w:sectPr>
          <w:footerReference r:id="rId10" w:type="default"/>
          <w:pgSz w:w="11906" w:h="16838"/>
          <w:pgMar w:top="1440" w:right="1803" w:bottom="1440" w:left="1803" w:header="851" w:footer="1417" w:gutter="0"/>
          <w:pgNumType w:start="1"/>
          <w:cols w:space="0" w:num="1"/>
          <w:docGrid w:type="linesAndChars" w:linePitch="439" w:charSpace="1554"/>
        </w:sectPr>
      </w:pPr>
      <w:r>
        <w:rPr>
          <w:rFonts w:eastAsia="楷体_GB2312" w:cs="Times New Roman"/>
          <w:color w:val="auto"/>
          <w:szCs w:val="32"/>
          <w:highlight w:val="none"/>
        </w:rPr>
        <w:fldChar w:fldCharType="end"/>
      </w:r>
    </w:p>
    <w:p>
      <w:pPr>
        <w:spacing w:line="580" w:lineRule="exact"/>
        <w:ind w:firstLine="655"/>
        <w:rPr>
          <w:rFonts w:cs="Times New Roman"/>
          <w:color w:val="auto"/>
          <w:highlight w:val="none"/>
        </w:rPr>
      </w:pPr>
      <w:r>
        <w:rPr>
          <w:rFonts w:cs="Times New Roman"/>
          <w:color w:val="auto"/>
          <w:highlight w:val="none"/>
        </w:rPr>
        <w:t>“十四五”时期是“两个一百年”奋斗目标的历史交汇期，是我省全面建设社会主义现代化、高质量发展建设共同富裕示范区的第一个五年，也是我县建设全国山区新型城镇化样板、全域5A童话大花园、国际木制玩具名城的关键五年。根据《丽水市扩大有效投资“十四五”规划》《云和县国民经济和社会发展第十四个五年规划和二〇三五年远景目标纲要》，为更好发挥有效投资对优化供给结构、促进经济结构调整的关键性作用，特编制本规划。本规划期限为2021-2025年，范围为云和全县域。</w:t>
      </w:r>
    </w:p>
    <w:p>
      <w:pPr>
        <w:pStyle w:val="4"/>
        <w:spacing w:line="580" w:lineRule="exact"/>
        <w:ind w:firstLine="655"/>
        <w:rPr>
          <w:rFonts w:cs="Times New Roman"/>
          <w:color w:val="auto"/>
          <w:highlight w:val="none"/>
        </w:rPr>
      </w:pPr>
      <w:bookmarkStart w:id="0" w:name="_Toc26958"/>
      <w:bookmarkStart w:id="1" w:name="_Toc15736"/>
      <w:bookmarkStart w:id="2" w:name="_Toc7949"/>
      <w:bookmarkStart w:id="3" w:name="_Toc2321"/>
      <w:bookmarkStart w:id="4" w:name="_Toc464"/>
      <w:r>
        <w:rPr>
          <w:rFonts w:cs="Times New Roman"/>
          <w:color w:val="auto"/>
          <w:highlight w:val="none"/>
        </w:rPr>
        <w:t>一、发展基础</w:t>
      </w:r>
      <w:bookmarkEnd w:id="0"/>
      <w:bookmarkEnd w:id="1"/>
      <w:bookmarkEnd w:id="2"/>
      <w:bookmarkEnd w:id="3"/>
      <w:bookmarkEnd w:id="4"/>
    </w:p>
    <w:p>
      <w:pPr>
        <w:spacing w:line="580" w:lineRule="exact"/>
        <w:ind w:firstLine="655"/>
        <w:rPr>
          <w:rFonts w:cs="Times New Roman"/>
          <w:color w:val="auto"/>
          <w:highlight w:val="none"/>
        </w:rPr>
      </w:pPr>
      <w:r>
        <w:rPr>
          <w:rFonts w:cs="Times New Roman"/>
          <w:color w:val="auto"/>
          <w:highlight w:val="none"/>
        </w:rPr>
        <w:t>“十三五”时期，全县上下科学谋划，积极采取有效措施，积极扩大有效投资，固定资产投资保持较快增长，支撑经济社会持续健康发展的作用进一步增强。</w:t>
      </w:r>
    </w:p>
    <w:p>
      <w:pPr>
        <w:widowControl/>
        <w:spacing w:line="580" w:lineRule="exact"/>
        <w:ind w:firstLine="655"/>
        <w:jc w:val="left"/>
        <w:outlineLvl w:val="1"/>
        <w:rPr>
          <w:rFonts w:eastAsia="楷体_GB2312" w:cs="Times New Roman"/>
          <w:bCs/>
          <w:color w:val="auto"/>
          <w:szCs w:val="32"/>
          <w:highlight w:val="none"/>
        </w:rPr>
      </w:pPr>
      <w:bookmarkStart w:id="5" w:name="_Toc32715"/>
      <w:bookmarkStart w:id="6" w:name="_Toc18523"/>
      <w:bookmarkStart w:id="7" w:name="_Toc27904"/>
      <w:bookmarkStart w:id="8" w:name="_Toc21607"/>
      <w:r>
        <w:rPr>
          <w:rFonts w:eastAsia="楷体_GB2312" w:cs="Times New Roman"/>
          <w:bCs/>
          <w:color w:val="auto"/>
          <w:szCs w:val="32"/>
          <w:highlight w:val="none"/>
        </w:rPr>
        <w:t>（一）促进有效投资取得积极成效</w:t>
      </w:r>
      <w:bookmarkEnd w:id="5"/>
      <w:bookmarkEnd w:id="6"/>
      <w:bookmarkEnd w:id="7"/>
      <w:bookmarkEnd w:id="8"/>
    </w:p>
    <w:p>
      <w:pPr>
        <w:pStyle w:val="2"/>
        <w:spacing w:after="0" w:line="580" w:lineRule="exact"/>
        <w:ind w:left="0" w:leftChars="0" w:firstLine="658"/>
        <w:rPr>
          <w:color w:val="auto"/>
          <w:highlight w:val="none"/>
        </w:rPr>
      </w:pPr>
      <w:r>
        <w:rPr>
          <w:b/>
          <w:bCs/>
          <w:color w:val="auto"/>
          <w:highlight w:val="none"/>
        </w:rPr>
        <w:t>五年累计完成投资188.46亿元。</w:t>
      </w:r>
      <w:r>
        <w:rPr>
          <w:color w:val="auto"/>
          <w:highlight w:val="none"/>
        </w:rPr>
        <w:t>2016-2020年，全县固定资产投资完成额分别为46.57亿元、49.8亿元、27.44亿元、31.04亿元和33.61亿元，分别为年度计划投资的100.28%、95.07%、39.77%、66.20%和71.85%</w:t>
      </w:r>
      <w:r>
        <w:rPr>
          <w:rStyle w:val="31"/>
          <w:color w:val="auto"/>
          <w:highlight w:val="none"/>
        </w:rPr>
        <w:footnoteReference w:id="0"/>
      </w:r>
      <w:r>
        <w:rPr>
          <w:color w:val="auto"/>
          <w:highlight w:val="none"/>
        </w:rPr>
        <w:t>。“十三五”时期，全县累计完成固定资产投资188.46亿元，占丽水全市投资总额的5.17%。</w:t>
      </w:r>
    </w:p>
    <w:p>
      <w:pPr>
        <w:pStyle w:val="8"/>
        <w:snapToGrid/>
        <w:spacing w:line="580" w:lineRule="exact"/>
        <w:ind w:firstLine="658"/>
        <w:rPr>
          <w:rFonts w:ascii="Times New Roman" w:hAnsi="Times New Roman"/>
          <w:color w:val="auto"/>
          <w:szCs w:val="22"/>
          <w:highlight w:val="none"/>
        </w:rPr>
      </w:pPr>
      <w:r>
        <w:rPr>
          <w:rFonts w:ascii="Times New Roman" w:hAnsi="Times New Roman"/>
          <w:b/>
          <w:bCs/>
          <w:color w:val="auto"/>
          <w:highlight w:val="none"/>
        </w:rPr>
        <w:t>五年年均投资增速10.62%。</w:t>
      </w:r>
      <w:r>
        <w:rPr>
          <w:rFonts w:ascii="Times New Roman" w:hAnsi="Times New Roman"/>
          <w:color w:val="auto"/>
          <w:szCs w:val="22"/>
          <w:highlight w:val="none"/>
        </w:rPr>
        <w:t>2016-2020年，全县固定资产投资年增速分别为</w:t>
      </w:r>
      <w:bookmarkStart w:id="9" w:name="OLE_LINK3"/>
      <w:r>
        <w:rPr>
          <w:rFonts w:ascii="Times New Roman" w:hAnsi="Times New Roman"/>
          <w:color w:val="auto"/>
          <w:szCs w:val="22"/>
          <w:highlight w:val="none"/>
        </w:rPr>
        <w:t>11.6%、13.1%、7.0%、13.1%和8.3%</w:t>
      </w:r>
      <w:bookmarkEnd w:id="9"/>
      <w:r>
        <w:rPr>
          <w:rFonts w:ascii="Times New Roman" w:hAnsi="Times New Roman"/>
          <w:color w:val="auto"/>
          <w:szCs w:val="22"/>
          <w:highlight w:val="none"/>
        </w:rPr>
        <w:t>，年均增速10.62%，保持较快增长态势。“十三五”时期，全县投资年均增速分别比全省的8.4%、全市的8.9%高出1.72、2.22个百分点，其中，2017-2020年投资增速均位列全市前三，创历史最好成绩。</w:t>
      </w:r>
    </w:p>
    <w:p>
      <w:pPr>
        <w:pStyle w:val="9"/>
        <w:rPr>
          <w:color w:val="auto"/>
          <w:szCs w:val="22"/>
          <w:highlight w:val="none"/>
        </w:rPr>
      </w:pPr>
    </w:p>
    <w:p>
      <w:pPr>
        <w:spacing w:line="240" w:lineRule="auto"/>
        <w:ind w:firstLine="0" w:firstLineChars="0"/>
        <w:jc w:val="center"/>
        <w:rPr>
          <w:rFonts w:cs="Times New Roman"/>
          <w:color w:val="auto"/>
          <w:highlight w:val="none"/>
        </w:rPr>
      </w:pPr>
      <w:r>
        <w:rPr>
          <w:rFonts w:cs="Times New Roman"/>
          <w:color w:val="auto"/>
          <w:highlight w:val="none"/>
        </w:rPr>
        <w:drawing>
          <wp:inline distT="0" distB="0" distL="114300" distR="114300">
            <wp:extent cx="4507865" cy="2618105"/>
            <wp:effectExtent l="4445" t="4445" r="21590" b="635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ind w:left="0" w:leftChars="0" w:firstLine="0" w:firstLineChars="0"/>
        <w:jc w:val="center"/>
        <w:rPr>
          <w:rFonts w:eastAsia="黑体"/>
          <w:color w:val="auto"/>
          <w:sz w:val="28"/>
          <w:szCs w:val="21"/>
          <w:highlight w:val="none"/>
        </w:rPr>
      </w:pPr>
      <w:r>
        <w:rPr>
          <w:rFonts w:eastAsia="黑体"/>
          <w:color w:val="auto"/>
          <w:sz w:val="28"/>
          <w:szCs w:val="21"/>
          <w:highlight w:val="none"/>
        </w:rPr>
        <w:t>图1 2016——2020年云和县投资总量和增速情况</w:t>
      </w:r>
    </w:p>
    <w:p>
      <w:pPr>
        <w:pStyle w:val="2"/>
        <w:spacing w:line="240" w:lineRule="auto"/>
        <w:ind w:left="0" w:leftChars="0" w:firstLine="0" w:firstLineChars="0"/>
        <w:jc w:val="center"/>
        <w:rPr>
          <w:color w:val="auto"/>
          <w:szCs w:val="22"/>
          <w:highlight w:val="none"/>
        </w:rPr>
      </w:pPr>
      <w:r>
        <w:rPr>
          <w:color w:val="auto"/>
          <w:highlight w:val="none"/>
        </w:rPr>
        <w:drawing>
          <wp:inline distT="0" distB="0" distL="114300" distR="114300">
            <wp:extent cx="4555490" cy="2734310"/>
            <wp:effectExtent l="0" t="0" r="1651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4555490" cy="2734310"/>
                    </a:xfrm>
                    <a:prstGeom prst="rect">
                      <a:avLst/>
                    </a:prstGeom>
                    <a:noFill/>
                    <a:ln>
                      <a:noFill/>
                    </a:ln>
                  </pic:spPr>
                </pic:pic>
              </a:graphicData>
            </a:graphic>
          </wp:inline>
        </w:drawing>
      </w:r>
      <w:bookmarkStart w:id="241" w:name="_GoBack"/>
      <w:bookmarkEnd w:id="241"/>
    </w:p>
    <w:p>
      <w:pPr>
        <w:pStyle w:val="2"/>
        <w:ind w:left="0" w:leftChars="0" w:firstLine="0" w:firstLineChars="0"/>
        <w:jc w:val="center"/>
        <w:rPr>
          <w:rFonts w:eastAsia="黑体"/>
          <w:color w:val="auto"/>
          <w:sz w:val="28"/>
          <w:szCs w:val="21"/>
          <w:highlight w:val="none"/>
        </w:rPr>
      </w:pPr>
      <w:r>
        <w:rPr>
          <w:rFonts w:eastAsia="黑体"/>
          <w:color w:val="auto"/>
          <w:sz w:val="28"/>
          <w:szCs w:val="21"/>
          <w:highlight w:val="none"/>
        </w:rPr>
        <w:t>图2 2016——2020年全省、丽水市、云和县投资增速比较</w:t>
      </w:r>
    </w:p>
    <w:p>
      <w:pPr>
        <w:pStyle w:val="2"/>
        <w:ind w:left="0" w:leftChars="0" w:firstLine="0" w:firstLineChars="0"/>
        <w:jc w:val="center"/>
        <w:rPr>
          <w:rFonts w:eastAsia="黑体"/>
          <w:color w:val="auto"/>
          <w:sz w:val="28"/>
          <w:szCs w:val="21"/>
          <w:highlight w:val="none"/>
        </w:rPr>
      </w:pPr>
    </w:p>
    <w:p>
      <w:pPr>
        <w:widowControl/>
        <w:spacing w:line="580" w:lineRule="exact"/>
        <w:ind w:firstLine="655"/>
        <w:jc w:val="left"/>
        <w:outlineLvl w:val="1"/>
        <w:rPr>
          <w:rFonts w:eastAsia="楷体_GB2312" w:cs="Times New Roman"/>
          <w:bCs/>
          <w:color w:val="auto"/>
          <w:szCs w:val="32"/>
          <w:highlight w:val="none"/>
        </w:rPr>
      </w:pPr>
      <w:bookmarkStart w:id="10" w:name="_Toc22439"/>
      <w:bookmarkStart w:id="11" w:name="_Toc19158"/>
      <w:bookmarkStart w:id="12" w:name="_Toc27915"/>
      <w:bookmarkStart w:id="13" w:name="_Toc725"/>
      <w:r>
        <w:rPr>
          <w:rFonts w:eastAsia="楷体_GB2312" w:cs="Times New Roman"/>
          <w:bCs/>
          <w:color w:val="auto"/>
          <w:szCs w:val="32"/>
          <w:highlight w:val="none"/>
        </w:rPr>
        <w:t>（二）重点投资领域建设成效显著</w:t>
      </w:r>
      <w:bookmarkEnd w:id="10"/>
      <w:bookmarkEnd w:id="11"/>
      <w:bookmarkEnd w:id="12"/>
      <w:bookmarkEnd w:id="13"/>
    </w:p>
    <w:p>
      <w:pPr>
        <w:spacing w:line="580" w:lineRule="exact"/>
        <w:ind w:firstLine="655"/>
        <w:rPr>
          <w:rFonts w:cs="Times New Roman"/>
          <w:color w:val="auto"/>
          <w:szCs w:val="32"/>
          <w:highlight w:val="none"/>
        </w:rPr>
      </w:pPr>
      <w:r>
        <w:rPr>
          <w:rFonts w:cs="Times New Roman"/>
          <w:color w:val="auto"/>
          <w:szCs w:val="32"/>
          <w:highlight w:val="none"/>
        </w:rPr>
        <w:t>“十三五”期间，全县共实施重点项目73个，总投资279亿元。其中，列入省重点建设项目10项、省重大产业项目4项、省“4+1”重大项目4项、省“六个千亿”产业投资工程12个、省集中开工项目20个，落地开工省市县长工程项目6项。</w:t>
      </w:r>
    </w:p>
    <w:p>
      <w:pPr>
        <w:widowControl/>
        <w:spacing w:line="580" w:lineRule="exact"/>
        <w:ind w:firstLine="658"/>
        <w:rPr>
          <w:rFonts w:cs="Times New Roman"/>
          <w:color w:val="auto"/>
          <w:szCs w:val="32"/>
          <w:highlight w:val="none"/>
        </w:rPr>
      </w:pPr>
      <w:r>
        <w:rPr>
          <w:rFonts w:cs="Times New Roman"/>
          <w:b/>
          <w:bCs/>
          <w:color w:val="auto"/>
          <w:szCs w:val="32"/>
          <w:highlight w:val="none"/>
        </w:rPr>
        <w:t>产业转型升级步伐加快。</w:t>
      </w:r>
      <w:r>
        <w:rPr>
          <w:rFonts w:cs="Times New Roman"/>
          <w:color w:val="auto"/>
          <w:szCs w:val="32"/>
          <w:highlight w:val="none"/>
          <w:lang w:bidi="ar"/>
        </w:rPr>
        <w:t>工业园区承载能力进一步增强，完成沙溪区块、杨柳河三期建设，开工建设工业驿站、工业园区公共服务中心，“十三五”期间实现新入园企业63家、制造业投资25.67亿元。</w:t>
      </w:r>
      <w:r>
        <w:rPr>
          <w:rFonts w:cs="Times New Roman"/>
          <w:color w:val="auto"/>
          <w:szCs w:val="32"/>
          <w:highlight w:val="none"/>
        </w:rPr>
        <w:t>生态工业加快转型发展，木玩产业创新服务综合体、木玩产业创新孵化基地项目开工建设，木玩产业延链、强链步伐加快。华宏钢铁、兴昌钢球、诚创轴承等亿元以上制造业重点技改项目加快实施，轴承、阀门、钢压延向精深加工转型。生态服务业加快提质升级，云和梯田创5A、木玩童话小镇、生态养生文化村等项目快速推进，商贸物流城二期、两仓项目完工投用，为打造全域5A童话大花园奠定了坚实基础。</w:t>
      </w:r>
    </w:p>
    <w:p>
      <w:pPr>
        <w:widowControl/>
        <w:spacing w:line="580" w:lineRule="exact"/>
        <w:ind w:firstLine="658"/>
        <w:rPr>
          <w:rFonts w:cs="Times New Roman"/>
          <w:color w:val="auto"/>
          <w:kern w:val="0"/>
          <w:szCs w:val="32"/>
          <w:highlight w:val="none"/>
        </w:rPr>
      </w:pPr>
      <w:r>
        <w:rPr>
          <w:rFonts w:cs="Times New Roman"/>
          <w:b/>
          <w:bCs/>
          <w:color w:val="auto"/>
          <w:highlight w:val="none"/>
        </w:rPr>
        <w:t>基础设施建设日趋完善。</w:t>
      </w:r>
      <w:r>
        <w:rPr>
          <w:rFonts w:cs="Times New Roman"/>
          <w:color w:val="auto"/>
          <w:szCs w:val="32"/>
          <w:highlight w:val="none"/>
        </w:rPr>
        <w:t>内联外畅交通网络日趋完善，云龙公路改建一期工程完工、二期工程全面施工，完成后交线后山至岙头段、后交线至坑根公路、后交线至梅竹公路和梅源至吴坪公路等梯田景区路网建设和提升，石浦东西码头、石塘交通中心码头基本建成，“一环二高三主干四联五通道”交通运输网络初步形成，公路总里程达935公里。城乡交通进一步畅通，“四好农村路”建设有序推进，获评全市首个“四好农村路”省级示范县。水利设施有序建设，龙泉溪治理一期工程完工，浮云溪流域综合治理工程全线开工，农村饮用水提标达标工程全面铺开，紧水滩引调水、美丽河湖建设等项目加快推进。绿道网加快成形，建成绿道229公里。清洁能源体系加快完善，</w:t>
      </w:r>
      <w:r>
        <w:rPr>
          <w:rFonts w:cs="Times New Roman"/>
          <w:color w:val="auto"/>
          <w:kern w:val="0"/>
          <w:szCs w:val="32"/>
          <w:highlight w:val="none"/>
        </w:rPr>
        <w:t>天然气管道工程完工通气，</w:t>
      </w:r>
      <w:r>
        <w:rPr>
          <w:rFonts w:cs="Times New Roman"/>
          <w:color w:val="auto"/>
          <w:szCs w:val="32"/>
          <w:highlight w:val="none"/>
        </w:rPr>
        <w:t>全市首个风电场建成投产，紧水滩光伏、包山光伏项目并网发电，复兴及崇头两个综合功能站建成投用</w:t>
      </w:r>
      <w:r>
        <w:rPr>
          <w:rFonts w:cs="Times New Roman"/>
          <w:color w:val="auto"/>
          <w:kern w:val="0"/>
          <w:szCs w:val="32"/>
          <w:highlight w:val="none"/>
        </w:rPr>
        <w:t>。</w:t>
      </w:r>
    </w:p>
    <w:p>
      <w:pPr>
        <w:spacing w:line="580" w:lineRule="exact"/>
        <w:ind w:firstLine="658"/>
        <w:rPr>
          <w:rFonts w:cs="Times New Roman"/>
          <w:color w:val="auto"/>
          <w:szCs w:val="32"/>
          <w:highlight w:val="none"/>
        </w:rPr>
      </w:pPr>
      <w:r>
        <w:rPr>
          <w:rFonts w:cs="Times New Roman"/>
          <w:b/>
          <w:bCs/>
          <w:color w:val="auto"/>
          <w:highlight w:val="none"/>
        </w:rPr>
        <w:t>城乡建设展现新面貌。</w:t>
      </w:r>
      <w:r>
        <w:rPr>
          <w:rFonts w:cs="Times New Roman"/>
          <w:color w:val="auto"/>
          <w:szCs w:val="32"/>
          <w:highlight w:val="none"/>
        </w:rPr>
        <w:t>城市基础设施加快提升，完成祥云街（纵一路至大坪路）、城东南路（城南九年一贯制学校至祥云路）等主干路建设，完成中山街、城北路等道路改造提升，城市路网密度全市第一。城市有机更新滚动实施，睦田村城中村改造启动建设，大庆寺、下前溪、农技站、老豆腐厂、南门东区块、白水区块等棚户区改造加快推进，累计改造棚户区达12万平方米。老旧小区、老旧街区改造有序推进，完成鲤鱼山、电信新村、园丁新村3个老旧小区改造，完成同心花园、嘉和苑、城中佳苑等8个幸福社区基础设施改造，</w:t>
      </w:r>
      <w:r>
        <w:rPr>
          <w:rFonts w:cs="Times New Roman"/>
          <w:color w:val="auto"/>
          <w:spacing w:val="6"/>
          <w:kern w:val="0"/>
          <w:szCs w:val="32"/>
          <w:highlight w:val="none"/>
        </w:rPr>
        <w:t>完成采真里历史文化街区核心区块建设和主要街巷改造。</w:t>
      </w:r>
      <w:r>
        <w:rPr>
          <w:rFonts w:cs="Times New Roman"/>
          <w:color w:val="auto"/>
          <w:szCs w:val="32"/>
          <w:highlight w:val="none"/>
        </w:rPr>
        <w:t>园林城市建设持续推进，完成城西公园、大徐三角地等城市公园绿地改造，</w:t>
      </w:r>
      <w:r>
        <w:rPr>
          <w:rFonts w:cs="Times New Roman"/>
          <w:bCs/>
          <w:color w:val="auto"/>
          <w:szCs w:val="32"/>
          <w:highlight w:val="none"/>
          <w:shd w:val="clear" w:color="auto" w:fill="FFFFFF"/>
        </w:rPr>
        <w:t>城市人均公园绿地面积15.04平方米，公园绿地服务半径覆盖率81.9%，建成区绿地率37.12%。</w:t>
      </w:r>
      <w:r>
        <w:rPr>
          <w:rFonts w:cs="Times New Roman"/>
          <w:color w:val="auto"/>
          <w:szCs w:val="32"/>
          <w:highlight w:val="none"/>
        </w:rPr>
        <w:t>村庄“景区化”建设大力推进，崇头镇、赤石乡省级美丽城镇完成创建，培育新时代美丽乡村15个。</w:t>
      </w:r>
    </w:p>
    <w:p>
      <w:pPr>
        <w:spacing w:line="580" w:lineRule="exact"/>
        <w:ind w:firstLine="658"/>
        <w:rPr>
          <w:rFonts w:cs="Times New Roman"/>
          <w:color w:val="auto"/>
          <w:highlight w:val="none"/>
        </w:rPr>
      </w:pPr>
      <w:r>
        <w:rPr>
          <w:rFonts w:cs="Times New Roman"/>
          <w:b/>
          <w:bCs/>
          <w:color w:val="auto"/>
          <w:highlight w:val="none"/>
        </w:rPr>
        <w:t>生态环境质量持续优化。</w:t>
      </w:r>
      <w:r>
        <w:rPr>
          <w:rFonts w:cs="Times New Roman"/>
          <w:color w:val="auto"/>
          <w:highlight w:val="none"/>
        </w:rPr>
        <w:t>深入开展“三大革命”“六大创建”“六大工程”，生态环境公众满意度居全省第一。治水工程成效显著，“十三五”期间</w:t>
      </w:r>
      <w:r>
        <w:rPr>
          <w:rFonts w:cs="Times New Roman"/>
          <w:color w:val="auto"/>
          <w:szCs w:val="32"/>
          <w:highlight w:val="none"/>
        </w:rPr>
        <w:t>新改建城市污水主管网20余公里、雨水管网29公里，提标改造管道21公里，雨污分流管改造24.4公里，</w:t>
      </w:r>
      <w:r>
        <w:rPr>
          <w:rFonts w:cs="Times New Roman"/>
          <w:color w:val="auto"/>
          <w:highlight w:val="none"/>
        </w:rPr>
        <w:t>建成全市首个工业污水分质处理站，垃圾渗滤液处理站建成投用，</w:t>
      </w:r>
      <w:r>
        <w:rPr>
          <w:rFonts w:cs="Times New Roman"/>
          <w:color w:val="auto"/>
          <w:szCs w:val="32"/>
          <w:highlight w:val="none"/>
        </w:rPr>
        <w:t>城市污水处理厂实现“准四类”清洁排放标准排放</w:t>
      </w:r>
      <w:r>
        <w:rPr>
          <w:rFonts w:cs="Times New Roman"/>
          <w:color w:val="auto"/>
          <w:highlight w:val="none"/>
        </w:rPr>
        <w:t>，工业园区、紧水滩镇、石塘镇、新岭小区建成“污水零直排区”。清废能力有效提升，在全市率先建成生活垃圾分类系统，城乡生活垃圾分类收集覆盖面分别达90.78%、90.14%，一般工业固废利用率达100%。实施“一海两园三线”美丽林相建设，累计完成22.25万亩。</w:t>
      </w:r>
    </w:p>
    <w:p>
      <w:pPr>
        <w:widowControl/>
        <w:spacing w:line="580" w:lineRule="exact"/>
        <w:ind w:firstLine="658"/>
        <w:rPr>
          <w:rFonts w:cs="Times New Roman"/>
          <w:color w:val="auto"/>
          <w:highlight w:val="none"/>
        </w:rPr>
      </w:pPr>
      <w:r>
        <w:rPr>
          <w:rFonts w:cs="Times New Roman"/>
          <w:b/>
          <w:bCs/>
          <w:color w:val="auto"/>
          <w:highlight w:val="none"/>
        </w:rPr>
        <w:t>公共服务能力有效提升。</w:t>
      </w:r>
      <w:r>
        <w:rPr>
          <w:rFonts w:cs="Times New Roman"/>
          <w:color w:val="auto"/>
          <w:szCs w:val="32"/>
          <w:highlight w:val="none"/>
        </w:rPr>
        <w:t>教育服务量质同升，新建、改扩建学校8所，新增校舍面积8.83万平方米，新增学前教育学位720个、小学270个、初中900个</w:t>
      </w:r>
      <w:r>
        <w:rPr>
          <w:rFonts w:cs="Times New Roman"/>
          <w:color w:val="auto"/>
          <w:szCs w:val="32"/>
          <w:highlight w:val="none"/>
        </w:rPr>
        <w:t>，通过省教育基本现代化县评估验收。医疗保障持续提升，城南社区卫生服务中心建成投用，中医院迁建、人民医院病房扩建、城北社区卫生服务中心开工建设，每千人床位数达4.8张，实现“20分钟医疗卫生服务圈”全覆盖。文体设施不断完善，文体中心、老年大学、最美浮云绿道完工，凤凰山全民健身公园、木玩乐园改造提升项目有序推进。社会保障体系更加健全，完成养老综合福利中心建设和中心敬老院改造，建成10个居家养老服务中心，开工建设残疾人托养和康复中心。</w:t>
      </w:r>
    </w:p>
    <w:p>
      <w:pPr>
        <w:widowControl/>
        <w:spacing w:line="580" w:lineRule="exact"/>
        <w:ind w:firstLine="655"/>
        <w:jc w:val="left"/>
        <w:outlineLvl w:val="1"/>
        <w:rPr>
          <w:rFonts w:eastAsia="楷体_GB2312" w:cs="Times New Roman"/>
          <w:bCs/>
          <w:color w:val="auto"/>
          <w:szCs w:val="32"/>
          <w:highlight w:val="none"/>
        </w:rPr>
      </w:pPr>
      <w:bookmarkStart w:id="14" w:name="_Toc5332"/>
      <w:bookmarkStart w:id="15" w:name="_Toc31358"/>
      <w:bookmarkStart w:id="16" w:name="_Toc30503"/>
      <w:bookmarkStart w:id="17" w:name="_Toc28400"/>
      <w:r>
        <w:rPr>
          <w:rFonts w:eastAsia="楷体_GB2312" w:cs="Times New Roman"/>
          <w:bCs/>
          <w:color w:val="auto"/>
          <w:szCs w:val="32"/>
          <w:highlight w:val="none"/>
        </w:rPr>
        <w:t>（三）投资体制机制不断完善</w:t>
      </w:r>
      <w:bookmarkEnd w:id="14"/>
      <w:bookmarkEnd w:id="15"/>
      <w:bookmarkEnd w:id="16"/>
      <w:bookmarkEnd w:id="17"/>
    </w:p>
    <w:p>
      <w:pPr>
        <w:pStyle w:val="11"/>
        <w:spacing w:after="0" w:line="580" w:lineRule="exact"/>
        <w:ind w:firstLine="658"/>
        <w:rPr>
          <w:rFonts w:cs="Times New Roman"/>
          <w:color w:val="auto"/>
          <w:highlight w:val="none"/>
        </w:rPr>
      </w:pPr>
      <w:r>
        <w:rPr>
          <w:rFonts w:cs="Times New Roman"/>
          <w:b/>
          <w:bCs/>
          <w:color w:val="auto"/>
          <w:highlight w:val="none"/>
        </w:rPr>
        <w:t>投融资体制改革深入推进。</w:t>
      </w:r>
      <w:r>
        <w:rPr>
          <w:rFonts w:cs="Times New Roman"/>
          <w:color w:val="auto"/>
          <w:kern w:val="0"/>
          <w:szCs w:val="32"/>
          <w:highlight w:val="none"/>
        </w:rPr>
        <w:t>高质量推广使用PPP模式，城市污水处理厂清洁排放技术改造及城市污水零直排项目成为我县首个成功采用PPP模式引入社会资本建设的项目，生活垃圾资源化利用项目成功完成特许经营招标。</w:t>
      </w:r>
      <w:r>
        <w:rPr>
          <w:rFonts w:cs="Times New Roman"/>
          <w:color w:val="auto"/>
          <w:highlight w:val="none"/>
        </w:rPr>
        <w:t>全面推开“标准地”改革，累计以标准地形式供地25宗，总面积576亩，实现负面清单外的工业用地100%按标准地进行供地。积极探索区域能评+区块能耗标准、区域环评+环境标准等投资项目审批制度创新，重大项目管理制度和社会资本投资环境进一步改善。</w:t>
      </w:r>
    </w:p>
    <w:p>
      <w:pPr>
        <w:pStyle w:val="11"/>
        <w:spacing w:after="0" w:line="580" w:lineRule="exact"/>
        <w:ind w:firstLine="658"/>
        <w:rPr>
          <w:rFonts w:cs="Times New Roman"/>
          <w:color w:val="auto"/>
          <w:highlight w:val="none"/>
        </w:rPr>
      </w:pPr>
      <w:r>
        <w:rPr>
          <w:rFonts w:cs="Times New Roman"/>
          <w:b/>
          <w:bCs/>
          <w:color w:val="auto"/>
          <w:highlight w:val="none"/>
        </w:rPr>
        <w:t>审批效率不断提升。</w:t>
      </w:r>
      <w:r>
        <w:rPr>
          <w:rFonts w:cs="Times New Roman"/>
          <w:color w:val="auto"/>
          <w:highlight w:val="none"/>
        </w:rPr>
        <w:t>积极探索承诺制审批，制定实施《云和县企业投资项目承诺制审批改革实施办法（试行）》。有序推进投资项目审批“最多跑一次”改革，一般企业投资项目赋码到竣工验收，从2018年的“最多100天”压缩到2020年的“最多80天”，审批效率、服务质量显著提升。投资项目在线审批监管3.0平台平稳、有效运行，实现了投资项目事项100%通过平台网上申报、100%网上审批、100%网上出具批文、100%全流程覆盖。</w:t>
      </w:r>
    </w:p>
    <w:p>
      <w:pPr>
        <w:spacing w:line="580" w:lineRule="exact"/>
        <w:ind w:firstLine="658"/>
        <w:rPr>
          <w:rFonts w:cs="Times New Roman"/>
          <w:color w:val="auto"/>
          <w:highlight w:val="none"/>
        </w:rPr>
      </w:pPr>
      <w:r>
        <w:rPr>
          <w:rFonts w:cs="Times New Roman"/>
          <w:b/>
          <w:bCs/>
          <w:color w:val="auto"/>
          <w:highlight w:val="none"/>
        </w:rPr>
        <w:t>项目推进机制不断完善。</w:t>
      </w:r>
      <w:r>
        <w:rPr>
          <w:rFonts w:cs="Times New Roman"/>
          <w:color w:val="auto"/>
          <w:highlight w:val="none"/>
        </w:rPr>
        <w:t>全面执行项目督查管理标准化，坚持周通报、月统计、季点评、年终考核制度，综合运用县长例会、发送告知单、通报提示等手段传递项目推进压力。建立健全县领导领办重点项目、问题协调交办等工作机制，集中交办、研究、协调解决项目土地规划调整、农转用报批及政策处理等问题，确保各项目正常推进。</w:t>
      </w:r>
    </w:p>
    <w:p>
      <w:pPr>
        <w:widowControl/>
        <w:spacing w:line="580" w:lineRule="exact"/>
        <w:ind w:firstLine="655"/>
        <w:rPr>
          <w:rFonts w:cs="Times New Roman"/>
          <w:color w:val="auto"/>
          <w:szCs w:val="32"/>
          <w:highlight w:val="none"/>
        </w:rPr>
      </w:pPr>
      <w:r>
        <w:rPr>
          <w:rFonts w:cs="Times New Roman"/>
          <w:color w:val="auto"/>
          <w:szCs w:val="32"/>
          <w:highlight w:val="none"/>
        </w:rPr>
        <w:t>“十三五”时期，全县固定资产投资和重点领域建设成效显著，但也存在明显短板和问题。</w:t>
      </w:r>
      <w:r>
        <w:rPr>
          <w:rStyle w:val="26"/>
          <w:rFonts w:cs="Times New Roman"/>
          <w:color w:val="auto"/>
          <w:szCs w:val="21"/>
          <w:highlight w:val="none"/>
        </w:rPr>
        <w:t>一是投资结构有待优化。</w:t>
      </w:r>
      <w:r>
        <w:rPr>
          <w:rFonts w:cs="Times New Roman"/>
          <w:color w:val="auto"/>
          <w:szCs w:val="32"/>
          <w:highlight w:val="none"/>
        </w:rPr>
        <w:t>工业投资增速不稳，投资项目以中小制造业项目为主，</w:t>
      </w:r>
      <w:r>
        <w:rPr>
          <w:rStyle w:val="26"/>
          <w:rFonts w:cs="Times New Roman"/>
          <w:b w:val="0"/>
          <w:bCs w:val="0"/>
          <w:color w:val="auto"/>
          <w:szCs w:val="21"/>
          <w:highlight w:val="none"/>
        </w:rPr>
        <w:t>高能级项目比较缺乏；民间投资</w:t>
      </w:r>
      <w:r>
        <w:rPr>
          <w:rFonts w:cs="Times New Roman"/>
          <w:color w:val="auto"/>
          <w:szCs w:val="30"/>
          <w:highlight w:val="none"/>
        </w:rPr>
        <w:t>增速呈下降趋势，投资意愿不强。</w:t>
      </w:r>
      <w:r>
        <w:rPr>
          <w:rStyle w:val="26"/>
          <w:rFonts w:cs="Times New Roman"/>
          <w:color w:val="auto"/>
          <w:szCs w:val="21"/>
          <w:highlight w:val="none"/>
        </w:rPr>
        <w:t>二是项目承载空间有待扩容。</w:t>
      </w:r>
      <w:r>
        <w:rPr>
          <w:rFonts w:cs="Times New Roman"/>
          <w:color w:val="auto"/>
          <w:szCs w:val="30"/>
          <w:highlight w:val="none"/>
        </w:rPr>
        <w:t>工业园区发展用地基本耗尽，制造业发展受限；受限于城市开发边界、生态红线等要求，部分区块被列入限制开发区域及禁止开发区域；老木制玩具城区块“退二优二”、“退二进三”速度还不够快等。</w:t>
      </w:r>
      <w:r>
        <w:rPr>
          <w:rFonts w:cs="Times New Roman"/>
          <w:b/>
          <w:color w:val="auto"/>
          <w:szCs w:val="32"/>
          <w:highlight w:val="none"/>
        </w:rPr>
        <w:t>三是</w:t>
      </w:r>
      <w:r>
        <w:rPr>
          <w:rFonts w:cs="Times New Roman"/>
          <w:b/>
          <w:bCs/>
          <w:color w:val="auto"/>
          <w:szCs w:val="32"/>
          <w:highlight w:val="none"/>
        </w:rPr>
        <w:t>要素保障瓶颈有待破解。</w:t>
      </w:r>
      <w:r>
        <w:rPr>
          <w:rFonts w:cs="Times New Roman"/>
          <w:color w:val="auto"/>
          <w:szCs w:val="32"/>
          <w:highlight w:val="none"/>
        </w:rPr>
        <w:t>地方政府性债务规范管理带来的政府投资项目资金保障问题，</w:t>
      </w:r>
      <w:r>
        <w:rPr>
          <w:rFonts w:cs="Times New Roman"/>
          <w:color w:val="auto"/>
          <w:highlight w:val="none"/>
        </w:rPr>
        <w:t>以及能耗指标紧张、土地规划调整困难等</w:t>
      </w:r>
      <w:r>
        <w:rPr>
          <w:rFonts w:cs="Times New Roman"/>
          <w:color w:val="auto"/>
          <w:szCs w:val="32"/>
          <w:highlight w:val="none"/>
        </w:rPr>
        <w:t>，都对重</w:t>
      </w:r>
      <w:r>
        <w:rPr>
          <w:rFonts w:cs="Times New Roman"/>
          <w:color w:val="auto"/>
          <w:szCs w:val="32"/>
          <w:highlight w:val="none"/>
        </w:rPr>
        <w:t>大项目落地带来较大压力。</w:t>
      </w:r>
      <w:r>
        <w:rPr>
          <w:rFonts w:cs="Times New Roman"/>
          <w:b/>
          <w:bCs/>
          <w:color w:val="auto"/>
          <w:szCs w:val="32"/>
          <w:highlight w:val="none"/>
        </w:rPr>
        <w:t>四是体制机制有待创新。</w:t>
      </w:r>
      <w:r>
        <w:rPr>
          <w:rFonts w:cs="Times New Roman"/>
          <w:color w:val="auto"/>
          <w:szCs w:val="30"/>
          <w:highlight w:val="none"/>
        </w:rPr>
        <w:t>民间资本进入一些基础设施和公共服务领域还存在一定障碍，投资项目管理数字化水平有待进一步提升，国资国企平台作用有待进一步发挥。</w:t>
      </w:r>
    </w:p>
    <w:p>
      <w:pPr>
        <w:spacing w:line="550" w:lineRule="exact"/>
        <w:ind w:firstLine="0" w:firstLineChars="0"/>
        <w:jc w:val="center"/>
        <w:rPr>
          <w:rFonts w:cs="Times New Roman"/>
          <w:b/>
          <w:bCs/>
          <w:color w:val="auto"/>
          <w:sz w:val="28"/>
          <w:szCs w:val="28"/>
          <w:highlight w:val="none"/>
        </w:rPr>
      </w:pPr>
      <w:r>
        <w:rPr>
          <w:rFonts w:cs="Times New Roman"/>
          <w:b/>
          <w:bCs/>
          <w:color w:val="auto"/>
          <w:sz w:val="28"/>
          <w:szCs w:val="28"/>
          <w:highlight w:val="none"/>
        </w:rPr>
        <w:t>表1  2015——2020年丽水和云和投资结构主要指标对比表</w:t>
      </w:r>
    </w:p>
    <w:tbl>
      <w:tblPr>
        <w:tblStyle w:val="23"/>
        <w:tblW w:w="4997" w:type="pct"/>
        <w:jc w:val="center"/>
        <w:tblBorders>
          <w:top w:val="single" w:color="auto" w:sz="4" w:space="0"/>
          <w:left w:val="single" w:color="auto" w:sz="4" w:space="0"/>
          <w:bottom w:val="single" w:color="auto" w:sz="4" w:space="0"/>
          <w:right w:val="none" w:color="auto" w:sz="0"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590"/>
        <w:gridCol w:w="810"/>
        <w:gridCol w:w="842"/>
        <w:gridCol w:w="870"/>
        <w:gridCol w:w="1035"/>
        <w:gridCol w:w="1167"/>
        <w:gridCol w:w="1036"/>
        <w:gridCol w:w="975"/>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shd w:val="clear" w:color="auto" w:fill="FFFFFF"/>
          <w:tblCellMar>
            <w:top w:w="0" w:type="dxa"/>
            <w:left w:w="0" w:type="dxa"/>
            <w:bottom w:w="0" w:type="dxa"/>
            <w:right w:w="0" w:type="dxa"/>
          </w:tblCellMar>
        </w:tblPrEx>
        <w:trPr>
          <w:trHeight w:val="363" w:hRule="atLeast"/>
          <w:tblHeader/>
          <w:jc w:val="center"/>
        </w:trPr>
        <w:tc>
          <w:tcPr>
            <w:tcW w:w="956" w:type="pct"/>
            <w:tcBorders>
              <w:top w:val="single" w:color="auto" w:sz="4" w:space="0"/>
              <w:left w:val="nil"/>
              <w:bottom w:val="single" w:color="auto" w:sz="4" w:space="0"/>
            </w:tcBorders>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eastAsia="黑体" w:cs="Times New Roman"/>
                <w:color w:val="auto"/>
                <w:kern w:val="0"/>
                <w:sz w:val="28"/>
                <w:szCs w:val="28"/>
                <w:highlight w:val="none"/>
                <w:lang w:bidi="ar"/>
              </w:rPr>
            </w:pPr>
            <w:r>
              <w:rPr>
                <w:rFonts w:eastAsia="黑体" w:cs="Times New Roman"/>
                <w:color w:val="auto"/>
                <w:kern w:val="0"/>
                <w:sz w:val="28"/>
                <w:szCs w:val="28"/>
                <w:highlight w:val="none"/>
                <w:lang w:bidi="ar"/>
              </w:rPr>
              <w:t>类别</w:t>
            </w:r>
          </w:p>
        </w:tc>
        <w:tc>
          <w:tcPr>
            <w:tcW w:w="488" w:type="pct"/>
            <w:tcBorders>
              <w:top w:val="single" w:color="auto" w:sz="4" w:space="0"/>
              <w:bottom w:val="single" w:color="auto" w:sz="4" w:space="0"/>
              <w:right w:val="single" w:color="auto" w:sz="4" w:space="0"/>
            </w:tcBorders>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eastAsia="黑体" w:cs="Times New Roman"/>
                <w:color w:val="auto"/>
                <w:kern w:val="0"/>
                <w:sz w:val="28"/>
                <w:szCs w:val="28"/>
                <w:highlight w:val="none"/>
                <w:lang w:bidi="ar"/>
              </w:rPr>
            </w:pPr>
            <w:r>
              <w:rPr>
                <w:rFonts w:eastAsia="黑体" w:cs="Times New Roman"/>
                <w:color w:val="auto"/>
                <w:kern w:val="0"/>
                <w:sz w:val="28"/>
                <w:szCs w:val="28"/>
                <w:highlight w:val="none"/>
                <w:lang w:bidi="ar"/>
              </w:rPr>
              <w:t>地区</w:t>
            </w:r>
          </w:p>
        </w:tc>
        <w:tc>
          <w:tcPr>
            <w:tcW w:w="507" w:type="pct"/>
            <w:tcBorders>
              <w:left w:val="single" w:color="auto" w:sz="4" w:space="0"/>
            </w:tcBorders>
            <w:shd w:val="clear" w:color="auto" w:fill="FFFFFF"/>
            <w:tcMar>
              <w:top w:w="15" w:type="dxa"/>
              <w:left w:w="15" w:type="dxa"/>
              <w:right w:w="15" w:type="dxa"/>
            </w:tcMar>
            <w:vAlign w:val="bottom"/>
          </w:tcPr>
          <w:p>
            <w:pPr>
              <w:widowControl/>
              <w:adjustRightInd/>
              <w:snapToGrid/>
              <w:spacing w:line="400" w:lineRule="exact"/>
              <w:ind w:firstLine="0" w:firstLineChars="0"/>
              <w:jc w:val="center"/>
              <w:textAlignment w:val="bottom"/>
              <w:rPr>
                <w:rFonts w:eastAsia="黑体" w:cs="Times New Roman"/>
                <w:color w:val="auto"/>
                <w:kern w:val="0"/>
                <w:sz w:val="28"/>
                <w:szCs w:val="28"/>
                <w:highlight w:val="none"/>
                <w:lang w:bidi="ar"/>
              </w:rPr>
            </w:pPr>
            <w:r>
              <w:rPr>
                <w:rFonts w:eastAsia="黑体" w:cs="Times New Roman"/>
                <w:color w:val="auto"/>
                <w:kern w:val="0"/>
                <w:sz w:val="28"/>
                <w:szCs w:val="28"/>
                <w:highlight w:val="none"/>
                <w:lang w:bidi="ar"/>
              </w:rPr>
              <w:t>2015</w:t>
            </w:r>
          </w:p>
        </w:tc>
        <w:tc>
          <w:tcPr>
            <w:tcW w:w="511" w:type="pct"/>
            <w:shd w:val="clear" w:color="auto" w:fill="FFFFFF"/>
            <w:tcMar>
              <w:top w:w="15" w:type="dxa"/>
              <w:left w:w="15" w:type="dxa"/>
              <w:right w:w="15" w:type="dxa"/>
            </w:tcMar>
            <w:vAlign w:val="bottom"/>
          </w:tcPr>
          <w:p>
            <w:pPr>
              <w:widowControl/>
              <w:adjustRightInd/>
              <w:snapToGrid/>
              <w:spacing w:line="400" w:lineRule="exact"/>
              <w:ind w:firstLine="0" w:firstLineChars="0"/>
              <w:jc w:val="center"/>
              <w:textAlignment w:val="bottom"/>
              <w:rPr>
                <w:rFonts w:eastAsia="黑体" w:cs="Times New Roman"/>
                <w:color w:val="auto"/>
                <w:kern w:val="0"/>
                <w:sz w:val="28"/>
                <w:szCs w:val="28"/>
                <w:highlight w:val="none"/>
                <w:lang w:bidi="ar"/>
              </w:rPr>
            </w:pPr>
            <w:r>
              <w:rPr>
                <w:rFonts w:eastAsia="黑体" w:cs="Times New Roman"/>
                <w:color w:val="auto"/>
                <w:kern w:val="0"/>
                <w:sz w:val="28"/>
                <w:szCs w:val="28"/>
                <w:highlight w:val="none"/>
                <w:lang w:bidi="ar"/>
              </w:rPr>
              <w:t>2016</w:t>
            </w:r>
          </w:p>
        </w:tc>
        <w:tc>
          <w:tcPr>
            <w:tcW w:w="623" w:type="pct"/>
            <w:shd w:val="clear" w:color="auto" w:fill="FFFFFF"/>
            <w:tcMar>
              <w:top w:w="15" w:type="dxa"/>
              <w:left w:w="15" w:type="dxa"/>
              <w:right w:w="15" w:type="dxa"/>
            </w:tcMar>
            <w:vAlign w:val="bottom"/>
          </w:tcPr>
          <w:p>
            <w:pPr>
              <w:widowControl/>
              <w:adjustRightInd/>
              <w:snapToGrid/>
              <w:spacing w:line="400" w:lineRule="exact"/>
              <w:ind w:firstLine="0" w:firstLineChars="0"/>
              <w:jc w:val="center"/>
              <w:textAlignment w:val="bottom"/>
              <w:rPr>
                <w:rFonts w:eastAsia="黑体" w:cs="Times New Roman"/>
                <w:color w:val="auto"/>
                <w:kern w:val="0"/>
                <w:sz w:val="28"/>
                <w:szCs w:val="28"/>
                <w:highlight w:val="none"/>
                <w:lang w:bidi="ar"/>
              </w:rPr>
            </w:pPr>
            <w:r>
              <w:rPr>
                <w:rFonts w:eastAsia="黑体" w:cs="Times New Roman"/>
                <w:color w:val="auto"/>
                <w:kern w:val="0"/>
                <w:sz w:val="28"/>
                <w:szCs w:val="28"/>
                <w:highlight w:val="none"/>
                <w:lang w:bidi="ar"/>
              </w:rPr>
              <w:t>2017</w:t>
            </w:r>
          </w:p>
        </w:tc>
        <w:tc>
          <w:tcPr>
            <w:tcW w:w="702" w:type="pct"/>
            <w:shd w:val="clear" w:color="auto" w:fill="FFFFFF"/>
            <w:tcMar>
              <w:top w:w="15" w:type="dxa"/>
              <w:left w:w="15" w:type="dxa"/>
              <w:right w:w="15" w:type="dxa"/>
            </w:tcMar>
            <w:vAlign w:val="bottom"/>
          </w:tcPr>
          <w:p>
            <w:pPr>
              <w:widowControl/>
              <w:adjustRightInd/>
              <w:snapToGrid/>
              <w:spacing w:line="400" w:lineRule="exact"/>
              <w:ind w:firstLine="0" w:firstLineChars="0"/>
              <w:jc w:val="center"/>
              <w:textAlignment w:val="bottom"/>
              <w:rPr>
                <w:rFonts w:eastAsia="黑体" w:cs="Times New Roman"/>
                <w:color w:val="auto"/>
                <w:kern w:val="0"/>
                <w:sz w:val="28"/>
                <w:szCs w:val="28"/>
                <w:highlight w:val="none"/>
                <w:lang w:bidi="ar"/>
              </w:rPr>
            </w:pPr>
            <w:r>
              <w:rPr>
                <w:rFonts w:eastAsia="黑体" w:cs="Times New Roman"/>
                <w:color w:val="auto"/>
                <w:kern w:val="0"/>
                <w:sz w:val="28"/>
                <w:szCs w:val="28"/>
                <w:highlight w:val="none"/>
                <w:lang w:bidi="ar"/>
              </w:rPr>
              <w:t>2018</w:t>
            </w:r>
          </w:p>
        </w:tc>
        <w:tc>
          <w:tcPr>
            <w:tcW w:w="623" w:type="pct"/>
            <w:shd w:val="clear" w:color="auto" w:fill="FFFFFF"/>
            <w:tcMar>
              <w:top w:w="15" w:type="dxa"/>
              <w:left w:w="15" w:type="dxa"/>
              <w:right w:w="15" w:type="dxa"/>
            </w:tcMar>
            <w:vAlign w:val="bottom"/>
          </w:tcPr>
          <w:p>
            <w:pPr>
              <w:widowControl/>
              <w:adjustRightInd/>
              <w:snapToGrid/>
              <w:spacing w:line="400" w:lineRule="exact"/>
              <w:ind w:firstLine="0" w:firstLineChars="0"/>
              <w:jc w:val="center"/>
              <w:textAlignment w:val="bottom"/>
              <w:rPr>
                <w:rFonts w:eastAsia="黑体" w:cs="Times New Roman"/>
                <w:color w:val="auto"/>
                <w:kern w:val="0"/>
                <w:sz w:val="28"/>
                <w:szCs w:val="28"/>
                <w:highlight w:val="none"/>
                <w:lang w:bidi="ar"/>
              </w:rPr>
            </w:pPr>
            <w:r>
              <w:rPr>
                <w:rFonts w:eastAsia="黑体" w:cs="Times New Roman"/>
                <w:color w:val="auto"/>
                <w:kern w:val="0"/>
                <w:sz w:val="28"/>
                <w:szCs w:val="28"/>
                <w:highlight w:val="none"/>
                <w:lang w:bidi="ar"/>
              </w:rPr>
              <w:t>2019</w:t>
            </w:r>
          </w:p>
        </w:tc>
        <w:tc>
          <w:tcPr>
            <w:tcW w:w="586" w:type="pct"/>
            <w:shd w:val="clear" w:color="auto" w:fill="FFFFFF"/>
            <w:tcMar>
              <w:top w:w="15" w:type="dxa"/>
              <w:left w:w="15" w:type="dxa"/>
              <w:right w:w="15" w:type="dxa"/>
            </w:tcMar>
            <w:vAlign w:val="bottom"/>
          </w:tcPr>
          <w:p>
            <w:pPr>
              <w:widowControl/>
              <w:adjustRightInd/>
              <w:snapToGrid/>
              <w:spacing w:line="400" w:lineRule="exact"/>
              <w:ind w:firstLine="0" w:firstLineChars="0"/>
              <w:jc w:val="center"/>
              <w:textAlignment w:val="bottom"/>
              <w:rPr>
                <w:rFonts w:eastAsia="黑体" w:cs="Times New Roman"/>
                <w:color w:val="auto"/>
                <w:kern w:val="0"/>
                <w:sz w:val="28"/>
                <w:szCs w:val="28"/>
                <w:highlight w:val="none"/>
                <w:lang w:bidi="ar"/>
              </w:rPr>
            </w:pPr>
            <w:r>
              <w:rPr>
                <w:rFonts w:eastAsia="黑体" w:cs="Times New Roman"/>
                <w:color w:val="auto"/>
                <w:kern w:val="0"/>
                <w:sz w:val="28"/>
                <w:szCs w:val="28"/>
                <w:highlight w:val="none"/>
                <w:lang w:bidi="ar"/>
              </w:rPr>
              <w:t>2020</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0" w:hRule="atLeast"/>
          <w:tblHeader/>
          <w:jc w:val="center"/>
        </w:trPr>
        <w:tc>
          <w:tcPr>
            <w:tcW w:w="956" w:type="pct"/>
            <w:vMerge w:val="restart"/>
            <w:tcBorders>
              <w:top w:val="single" w:color="auto" w:sz="4" w:space="0"/>
              <w:left w:val="nil"/>
            </w:tcBorders>
            <w:shd w:val="clear" w:color="auto" w:fill="FFFFFF" w:themeFill="background1"/>
            <w:noWrap/>
            <w:tcMar>
              <w:top w:w="15" w:type="dxa"/>
              <w:left w:w="15" w:type="dxa"/>
              <w:right w:w="15" w:type="dxa"/>
            </w:tcMar>
            <w:vAlign w:val="center"/>
          </w:tcPr>
          <w:p>
            <w:pPr>
              <w:widowControl/>
              <w:adjustRightInd/>
              <w:snapToGrid/>
              <w:spacing w:line="400" w:lineRule="exact"/>
              <w:ind w:firstLine="0" w:firstLineChars="0"/>
              <w:jc w:val="center"/>
              <w:textAlignment w:val="center"/>
              <w:rPr>
                <w:rFonts w:cs="Times New Roman"/>
                <w:b/>
                <w:bCs/>
                <w:color w:val="auto"/>
                <w:sz w:val="28"/>
                <w:szCs w:val="28"/>
                <w:highlight w:val="none"/>
              </w:rPr>
            </w:pPr>
            <w:r>
              <w:rPr>
                <w:rFonts w:cs="Times New Roman"/>
                <w:b/>
                <w:bCs/>
                <w:color w:val="auto"/>
                <w:kern w:val="0"/>
                <w:sz w:val="28"/>
                <w:szCs w:val="28"/>
                <w:highlight w:val="none"/>
                <w:lang w:bidi="ar"/>
              </w:rPr>
              <w:t>工业投资</w:t>
            </w:r>
          </w:p>
        </w:tc>
        <w:tc>
          <w:tcPr>
            <w:tcW w:w="488" w:type="pct"/>
            <w:tcBorders>
              <w:top w:val="single" w:color="auto" w:sz="4" w:space="0"/>
            </w:tcBorders>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丽水</w:t>
            </w:r>
          </w:p>
        </w:tc>
        <w:tc>
          <w:tcPr>
            <w:tcW w:w="507"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7.9%</w:t>
            </w:r>
          </w:p>
        </w:tc>
        <w:tc>
          <w:tcPr>
            <w:tcW w:w="511"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2.7%</w:t>
            </w:r>
          </w:p>
        </w:tc>
        <w:tc>
          <w:tcPr>
            <w:tcW w:w="623"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8.6%</w:t>
            </w:r>
          </w:p>
        </w:tc>
        <w:tc>
          <w:tcPr>
            <w:tcW w:w="702"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-41.9%</w:t>
            </w:r>
          </w:p>
        </w:tc>
        <w:tc>
          <w:tcPr>
            <w:tcW w:w="623"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17.5%</w:t>
            </w:r>
          </w:p>
        </w:tc>
        <w:tc>
          <w:tcPr>
            <w:tcW w:w="586"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-9.4%</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0" w:hRule="atLeast"/>
          <w:tblHeader/>
          <w:jc w:val="center"/>
        </w:trPr>
        <w:tc>
          <w:tcPr>
            <w:tcW w:w="956" w:type="pct"/>
            <w:vMerge w:val="continue"/>
            <w:tcBorders>
              <w:left w:val="nil"/>
            </w:tcBorders>
            <w:shd w:val="clear" w:color="auto" w:fill="FFFFFF" w:themeFill="background1"/>
            <w:noWrap/>
            <w:tcMar>
              <w:top w:w="15" w:type="dxa"/>
              <w:left w:w="15" w:type="dxa"/>
              <w:right w:w="15" w:type="dxa"/>
            </w:tcMar>
            <w:vAlign w:val="center"/>
          </w:tcPr>
          <w:p>
            <w:pPr>
              <w:widowControl/>
              <w:adjustRightInd/>
              <w:snapToGrid/>
              <w:spacing w:line="400" w:lineRule="exact"/>
              <w:ind w:firstLine="0" w:firstLineChars="0"/>
              <w:jc w:val="center"/>
              <w:rPr>
                <w:rFonts w:cs="Times New Roman"/>
                <w:b/>
                <w:bCs/>
                <w:color w:val="auto"/>
                <w:sz w:val="28"/>
                <w:szCs w:val="28"/>
                <w:highlight w:val="none"/>
              </w:rPr>
            </w:pPr>
          </w:p>
        </w:tc>
        <w:tc>
          <w:tcPr>
            <w:tcW w:w="488"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云和</w:t>
            </w:r>
          </w:p>
        </w:tc>
        <w:tc>
          <w:tcPr>
            <w:tcW w:w="507"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5.7%</w:t>
            </w:r>
          </w:p>
        </w:tc>
        <w:tc>
          <w:tcPr>
            <w:tcW w:w="511"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11.1%</w:t>
            </w:r>
          </w:p>
        </w:tc>
        <w:tc>
          <w:tcPr>
            <w:tcW w:w="623"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41.2%</w:t>
            </w:r>
          </w:p>
        </w:tc>
        <w:tc>
          <w:tcPr>
            <w:tcW w:w="702"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w:t>
            </w:r>
          </w:p>
        </w:tc>
        <w:tc>
          <w:tcPr>
            <w:tcW w:w="623"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6.1%</w:t>
            </w:r>
          </w:p>
        </w:tc>
        <w:tc>
          <w:tcPr>
            <w:tcW w:w="586" w:type="pct"/>
            <w:shd w:val="clear" w:color="auto" w:fill="FFFFFF" w:themeFill="background1"/>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-20.9</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0" w:hRule="atLeast"/>
          <w:tblHeader/>
          <w:jc w:val="center"/>
        </w:trPr>
        <w:tc>
          <w:tcPr>
            <w:tcW w:w="956" w:type="pct"/>
            <w:vMerge w:val="restart"/>
            <w:tcBorders>
              <w:left w:val="nil"/>
            </w:tcBorders>
            <w:shd w:val="clear" w:color="auto" w:fill="FFFFFF"/>
            <w:noWrap/>
            <w:tcMar>
              <w:top w:w="15" w:type="dxa"/>
              <w:left w:w="15" w:type="dxa"/>
              <w:right w:w="15" w:type="dxa"/>
            </w:tcMar>
            <w:vAlign w:val="center"/>
          </w:tcPr>
          <w:p>
            <w:pPr>
              <w:widowControl/>
              <w:adjustRightInd/>
              <w:snapToGrid/>
              <w:spacing w:line="400" w:lineRule="exact"/>
              <w:ind w:firstLine="0" w:firstLineChars="0"/>
              <w:jc w:val="center"/>
              <w:textAlignment w:val="center"/>
              <w:rPr>
                <w:rFonts w:cs="Times New Roman"/>
                <w:b/>
                <w:bCs/>
                <w:color w:val="auto"/>
                <w:sz w:val="28"/>
                <w:szCs w:val="28"/>
                <w:highlight w:val="none"/>
              </w:rPr>
            </w:pPr>
            <w:r>
              <w:rPr>
                <w:rFonts w:cs="Times New Roman"/>
                <w:b/>
                <w:bCs/>
                <w:color w:val="auto"/>
                <w:kern w:val="0"/>
                <w:sz w:val="28"/>
                <w:szCs w:val="28"/>
                <w:highlight w:val="none"/>
                <w:lang w:bidi="ar"/>
              </w:rPr>
              <w:t>民间投资</w:t>
            </w:r>
          </w:p>
        </w:tc>
        <w:tc>
          <w:tcPr>
            <w:tcW w:w="488"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丽水</w:t>
            </w:r>
          </w:p>
        </w:tc>
        <w:tc>
          <w:tcPr>
            <w:tcW w:w="507"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1.0%</w:t>
            </w:r>
          </w:p>
        </w:tc>
        <w:tc>
          <w:tcPr>
            <w:tcW w:w="511"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9.2%</w:t>
            </w:r>
          </w:p>
        </w:tc>
        <w:tc>
          <w:tcPr>
            <w:tcW w:w="623"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17.4%</w:t>
            </w:r>
          </w:p>
        </w:tc>
        <w:tc>
          <w:tcPr>
            <w:tcW w:w="702"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-26.8%</w:t>
            </w:r>
          </w:p>
        </w:tc>
        <w:tc>
          <w:tcPr>
            <w:tcW w:w="623"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2.2%</w:t>
            </w:r>
          </w:p>
        </w:tc>
        <w:tc>
          <w:tcPr>
            <w:tcW w:w="586"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9.9%</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0" w:hRule="atLeast"/>
          <w:tblHeader/>
          <w:jc w:val="center"/>
        </w:trPr>
        <w:tc>
          <w:tcPr>
            <w:tcW w:w="956" w:type="pct"/>
            <w:vMerge w:val="continue"/>
            <w:tcBorders>
              <w:left w:val="nil"/>
            </w:tcBorders>
            <w:shd w:val="clear" w:color="auto" w:fill="FFFFFF"/>
            <w:noWrap/>
            <w:tcMar>
              <w:top w:w="15" w:type="dxa"/>
              <w:left w:w="15" w:type="dxa"/>
              <w:right w:w="15" w:type="dxa"/>
            </w:tcMar>
            <w:vAlign w:val="center"/>
          </w:tcPr>
          <w:p>
            <w:pPr>
              <w:widowControl/>
              <w:adjustRightInd/>
              <w:snapToGrid/>
              <w:spacing w:line="400" w:lineRule="exact"/>
              <w:ind w:firstLine="0" w:firstLineChars="0"/>
              <w:jc w:val="center"/>
              <w:rPr>
                <w:rFonts w:cs="Times New Roman"/>
                <w:b/>
                <w:bCs/>
                <w:color w:val="auto"/>
                <w:sz w:val="28"/>
                <w:szCs w:val="28"/>
                <w:highlight w:val="none"/>
              </w:rPr>
            </w:pPr>
          </w:p>
        </w:tc>
        <w:tc>
          <w:tcPr>
            <w:tcW w:w="488"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云和</w:t>
            </w:r>
          </w:p>
        </w:tc>
        <w:tc>
          <w:tcPr>
            <w:tcW w:w="507"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17.2%</w:t>
            </w:r>
          </w:p>
        </w:tc>
        <w:tc>
          <w:tcPr>
            <w:tcW w:w="511"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-12.1%</w:t>
            </w:r>
          </w:p>
        </w:tc>
        <w:tc>
          <w:tcPr>
            <w:tcW w:w="623"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44.2%</w:t>
            </w:r>
          </w:p>
        </w:tc>
        <w:tc>
          <w:tcPr>
            <w:tcW w:w="702"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29.1%</w:t>
            </w:r>
          </w:p>
        </w:tc>
        <w:tc>
          <w:tcPr>
            <w:tcW w:w="623"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11.6%</w:t>
            </w:r>
          </w:p>
        </w:tc>
        <w:tc>
          <w:tcPr>
            <w:tcW w:w="586" w:type="pct"/>
            <w:shd w:val="clear" w:color="auto" w:fill="FFFFFF"/>
            <w:noWrap/>
            <w:tcMar>
              <w:top w:w="15" w:type="dxa"/>
              <w:left w:w="15" w:type="dxa"/>
              <w:right w:w="15" w:type="dxa"/>
            </w:tcMar>
            <w:vAlign w:val="bottom"/>
          </w:tcPr>
          <w:p>
            <w:pPr>
              <w:widowControl/>
              <w:adjustRightInd/>
              <w:snapToGrid/>
              <w:spacing w:line="400" w:lineRule="exact"/>
              <w:ind w:firstLine="0" w:firstLineChars="0"/>
              <w:jc w:val="center"/>
              <w:textAlignment w:val="bottom"/>
              <w:rPr>
                <w:rFonts w:cs="Times New Roman"/>
                <w:color w:val="auto"/>
                <w:sz w:val="28"/>
                <w:szCs w:val="28"/>
                <w:highlight w:val="none"/>
              </w:rPr>
            </w:pPr>
            <w:r>
              <w:rPr>
                <w:rFonts w:cs="Times New Roman"/>
                <w:color w:val="auto"/>
                <w:sz w:val="28"/>
                <w:szCs w:val="28"/>
                <w:highlight w:val="none"/>
              </w:rPr>
              <w:t>6.4%</w:t>
            </w:r>
          </w:p>
        </w:tc>
      </w:tr>
    </w:tbl>
    <w:p>
      <w:pPr>
        <w:ind w:firstLine="655"/>
        <w:rPr>
          <w:rFonts w:cs="Times New Roman"/>
          <w:color w:val="auto"/>
          <w:szCs w:val="32"/>
          <w:highlight w:val="none"/>
        </w:rPr>
      </w:pPr>
    </w:p>
    <w:p>
      <w:pPr>
        <w:pStyle w:val="4"/>
        <w:spacing w:line="592" w:lineRule="exact"/>
        <w:ind w:firstLine="655"/>
        <w:jc w:val="both"/>
        <w:rPr>
          <w:rFonts w:cs="Times New Roman"/>
          <w:color w:val="auto"/>
          <w:highlight w:val="none"/>
        </w:rPr>
      </w:pPr>
      <w:bookmarkStart w:id="18" w:name="_Toc13836"/>
      <w:bookmarkStart w:id="19" w:name="_Toc1860"/>
      <w:bookmarkStart w:id="20" w:name="_Toc32057"/>
      <w:bookmarkStart w:id="21" w:name="_Toc6759"/>
      <w:bookmarkStart w:id="22" w:name="_Toc28430"/>
      <w:r>
        <w:rPr>
          <w:rFonts w:cs="Times New Roman"/>
          <w:color w:val="auto"/>
          <w:highlight w:val="none"/>
        </w:rPr>
        <w:t>二、发展环境</w:t>
      </w:r>
      <w:bookmarkEnd w:id="18"/>
      <w:bookmarkEnd w:id="19"/>
      <w:bookmarkEnd w:id="20"/>
      <w:bookmarkEnd w:id="21"/>
      <w:bookmarkEnd w:id="22"/>
    </w:p>
    <w:p>
      <w:pPr>
        <w:spacing w:line="580" w:lineRule="exact"/>
        <w:ind w:firstLine="655"/>
        <w:rPr>
          <w:rFonts w:cs="Times New Roman"/>
          <w:color w:val="auto"/>
          <w:szCs w:val="30"/>
          <w:highlight w:val="none"/>
        </w:rPr>
      </w:pPr>
      <w:bookmarkStart w:id="23" w:name="_Toc1726"/>
      <w:bookmarkStart w:id="24" w:name="_Toc24886"/>
      <w:r>
        <w:rPr>
          <w:rFonts w:cs="Times New Roman"/>
          <w:color w:val="auto"/>
          <w:szCs w:val="30"/>
          <w:highlight w:val="none"/>
        </w:rPr>
        <w:t>“十四五”时期，国内外环境正发生复杂而深刻的重大变化，扩大有效投资机遇和挑战并存，有利因素和不利因素同在。</w:t>
      </w:r>
    </w:p>
    <w:p>
      <w:pPr>
        <w:pStyle w:val="8"/>
        <w:spacing w:line="580" w:lineRule="exact"/>
        <w:ind w:firstLine="655"/>
        <w:outlineLvl w:val="1"/>
        <w:rPr>
          <w:rFonts w:ascii="Times New Roman" w:hAnsi="Times New Roman" w:eastAsia="楷体_GB2312"/>
          <w:bCs/>
          <w:color w:val="auto"/>
          <w:szCs w:val="32"/>
          <w:highlight w:val="none"/>
        </w:rPr>
      </w:pPr>
      <w:bookmarkStart w:id="25" w:name="_Toc3559"/>
      <w:bookmarkStart w:id="26" w:name="_Toc5212"/>
      <w:r>
        <w:rPr>
          <w:rFonts w:ascii="Times New Roman" w:hAnsi="Times New Roman" w:eastAsia="楷体_GB2312"/>
          <w:bCs/>
          <w:color w:val="auto"/>
          <w:szCs w:val="32"/>
          <w:highlight w:val="none"/>
        </w:rPr>
        <w:t>（一）</w:t>
      </w:r>
      <w:bookmarkEnd w:id="23"/>
      <w:bookmarkEnd w:id="24"/>
      <w:r>
        <w:rPr>
          <w:rFonts w:ascii="Times New Roman" w:hAnsi="Times New Roman" w:eastAsia="楷体_GB2312"/>
          <w:bCs/>
          <w:color w:val="auto"/>
          <w:szCs w:val="32"/>
          <w:highlight w:val="none"/>
        </w:rPr>
        <w:t>重大机遇</w:t>
      </w:r>
      <w:bookmarkEnd w:id="25"/>
      <w:bookmarkEnd w:id="26"/>
    </w:p>
    <w:p>
      <w:pPr>
        <w:pStyle w:val="9"/>
        <w:widowControl w:val="0"/>
        <w:wordWrap/>
        <w:spacing w:line="580" w:lineRule="exact"/>
        <w:ind w:left="0" w:firstLine="654" w:firstLineChars="200"/>
        <w:rPr>
          <w:rFonts w:eastAsia="仿宋_GB2312"/>
          <w:color w:val="auto"/>
          <w:kern w:val="2"/>
          <w:sz w:val="32"/>
          <w:szCs w:val="22"/>
          <w:highlight w:val="none"/>
        </w:rPr>
      </w:pPr>
      <w:r>
        <w:rPr>
          <w:rFonts w:eastAsia="仿宋_GB2312"/>
          <w:b/>
          <w:color w:val="auto"/>
          <w:kern w:val="2"/>
          <w:sz w:val="32"/>
          <w:szCs w:val="32"/>
          <w:highlight w:val="none"/>
        </w:rPr>
        <w:t>“双循环”新发展格局构建赋予扩大有效投资新契机。</w:t>
      </w:r>
      <w:r>
        <w:rPr>
          <w:rFonts w:eastAsia="仿宋_GB2312"/>
          <w:color w:val="auto"/>
          <w:kern w:val="2"/>
          <w:sz w:val="32"/>
          <w:szCs w:val="22"/>
          <w:highlight w:val="none"/>
        </w:rPr>
        <w:t>习近平总书记提出，要把满足国内需求作为发展的出发点和落脚点，加快构建完整的内需体系，形成以国内大循环为主体、国内国际双循环相互促进的新发展格局。“十四五”时期，云和应紧抓全市加快形成通达上海2小时、省域1小时和市域1小时“211”交通圈、高水平打造浙西南综合交通枢纽对推动浙西南地区跨越式发展高质量发展的重大战略作用，充分吸引长三角城市群的需求，加快实施一批交通互联项目，补齐新型城镇化建设短板，逐步完善配套资源，促进云和经济高质量发展。</w:t>
      </w:r>
    </w:p>
    <w:p>
      <w:pPr>
        <w:pStyle w:val="2"/>
        <w:spacing w:after="0" w:line="580" w:lineRule="exact"/>
        <w:ind w:left="0" w:leftChars="0" w:firstLine="658"/>
        <w:rPr>
          <w:color w:val="auto"/>
          <w:highlight w:val="none"/>
        </w:rPr>
      </w:pPr>
      <w:r>
        <w:rPr>
          <w:b/>
          <w:color w:val="auto"/>
          <w:szCs w:val="32"/>
          <w:highlight w:val="none"/>
        </w:rPr>
        <w:t>“双区”振兴发展政策支持释放有效投资新红利。</w:t>
      </w:r>
      <w:r>
        <w:rPr>
          <w:color w:val="auto"/>
          <w:highlight w:val="none"/>
        </w:rPr>
        <w:t>云和既是浙西南革命老区，也是全省山区26县加快发展地区。目前，支持浙西南革命老区振兴发展已经正式写入《国务院关于新时代支持革命老区振兴发展的意见》，国家有关部委正建立健全新时代支持革命老区振兴发展的“1+N+X”政策体系。山区26县的跨越式高质量发展，已经成为扎实推动共同富裕先行示范、解决发展不平衡不充分问题的关键举措。</w:t>
      </w:r>
      <w:r>
        <w:rPr>
          <w:color w:val="auto"/>
          <w:szCs w:val="32"/>
          <w:highlight w:val="none"/>
        </w:rPr>
        <w:t>我省将强化力量统筹、资源整合，超常规推动山区26县高质量发展共同富裕。“十四五”时期，</w:t>
      </w:r>
      <w:r>
        <w:rPr>
          <w:color w:val="auto"/>
          <w:highlight w:val="none"/>
        </w:rPr>
        <w:t>在“双区”政策大力支持下，我县要素资源、基础设施、重大项目等将释放新红利，成为扩大有效投资的重要动力源。</w:t>
      </w:r>
    </w:p>
    <w:p>
      <w:pPr>
        <w:pStyle w:val="2"/>
        <w:spacing w:after="0" w:line="580" w:lineRule="exact"/>
        <w:ind w:left="0" w:leftChars="0" w:firstLine="658"/>
        <w:rPr>
          <w:color w:val="auto"/>
          <w:highlight w:val="none"/>
        </w:rPr>
      </w:pPr>
      <w:r>
        <w:rPr>
          <w:b/>
          <w:color w:val="auto"/>
          <w:szCs w:val="32"/>
          <w:highlight w:val="none"/>
        </w:rPr>
        <w:t>生态产品价值实现机制改革深化拓宽有效投资新路径。</w:t>
      </w:r>
      <w:r>
        <w:rPr>
          <w:color w:val="auto"/>
          <w:highlight w:val="none"/>
        </w:rPr>
        <w:t>“十四五”时期，丽水将重点在生态产品功能拓展、标准创设、机制创新、路径开发等方面先行先试，全面启动生态产品价值实现机制示范区建设，推动这一国字号改革从“先行试点”迈向“先验示范”。作为全域5A童话大花园、瓯江山水诗之路重要组成，云和势必在“两山”转化路径和机制改革创新中加快探索前行，绿水青山蕴含的生态产品价值在环节和供给侧端将加快变革、创造、创新，生态资源优势将加快转化为发展优势，为生态利用型、生态赋能型、生态影响型产业发展提供新机会。</w:t>
      </w:r>
    </w:p>
    <w:p>
      <w:pPr>
        <w:spacing w:line="580" w:lineRule="exact"/>
        <w:ind w:firstLine="658"/>
        <w:rPr>
          <w:rFonts w:cs="Times New Roman"/>
          <w:color w:val="auto"/>
          <w:szCs w:val="32"/>
          <w:highlight w:val="none"/>
        </w:rPr>
      </w:pPr>
      <w:r>
        <w:rPr>
          <w:rFonts w:cs="Times New Roman"/>
          <w:b/>
          <w:bCs/>
          <w:color w:val="auto"/>
          <w:szCs w:val="24"/>
          <w:highlight w:val="none"/>
        </w:rPr>
        <w:t>重大平台谋划建设拓展有效投资新空间。</w:t>
      </w:r>
      <w:r>
        <w:rPr>
          <w:rFonts w:cs="Times New Roman"/>
          <w:color w:val="auto"/>
          <w:szCs w:val="32"/>
          <w:highlight w:val="none"/>
        </w:rPr>
        <w:t>“十四五”期间，平台空间开发将迎来重要政策窗口期。省委省政府提出要加快建设全球先进制造业基地，倾力打造“万亩千亿”新兴产业平台。</w:t>
      </w:r>
      <w:r>
        <w:rPr>
          <w:rFonts w:cs="Times New Roman"/>
          <w:color w:val="auto"/>
          <w:szCs w:val="24"/>
          <w:highlight w:val="none"/>
        </w:rPr>
        <w:t>市委市政府提出打造“一带三区”新格局，加快形成“一带”一体化协同、“三区”组团式发展，有利于云景发展区块、云景特色风情示范区建设加快推进。县委县政府</w:t>
      </w:r>
      <w:r>
        <w:rPr>
          <w:rFonts w:cs="Times New Roman"/>
          <w:color w:val="auto"/>
          <w:highlight w:val="none"/>
        </w:rPr>
        <w:t>谋划提出“十大战略抓手”，充分发挥瓯江流域云和段的生态优势、资源优势，谋划打造科创、文创、农创融合发展的科创绿谷。这些重大平台的谋划建设，能够有效</w:t>
      </w:r>
      <w:r>
        <w:rPr>
          <w:rFonts w:cs="Times New Roman"/>
          <w:color w:val="auto"/>
          <w:szCs w:val="32"/>
          <w:highlight w:val="none"/>
        </w:rPr>
        <w:t>破解空间受限难题，为生态工业聚要素、优环境、增活力提供空间承载。</w:t>
      </w:r>
    </w:p>
    <w:p>
      <w:pPr>
        <w:pStyle w:val="8"/>
        <w:spacing w:line="580" w:lineRule="exact"/>
        <w:ind w:firstLine="655"/>
        <w:outlineLvl w:val="1"/>
        <w:rPr>
          <w:rFonts w:ascii="Times New Roman" w:hAnsi="Times New Roman" w:eastAsia="楷体_GB2312"/>
          <w:bCs/>
          <w:color w:val="auto"/>
          <w:szCs w:val="32"/>
          <w:highlight w:val="none"/>
        </w:rPr>
      </w:pPr>
      <w:bookmarkStart w:id="27" w:name="_Toc3673"/>
      <w:bookmarkStart w:id="28" w:name="_Toc20592"/>
      <w:bookmarkStart w:id="29" w:name="_Toc12953"/>
      <w:bookmarkStart w:id="30" w:name="_Toc23722"/>
      <w:r>
        <w:rPr>
          <w:rFonts w:ascii="Times New Roman" w:hAnsi="Times New Roman" w:eastAsia="楷体_GB2312"/>
          <w:bCs/>
          <w:color w:val="auto"/>
          <w:szCs w:val="32"/>
          <w:highlight w:val="none"/>
        </w:rPr>
        <w:t>（二）面临挑战</w:t>
      </w:r>
      <w:bookmarkEnd w:id="27"/>
      <w:bookmarkEnd w:id="28"/>
      <w:bookmarkEnd w:id="29"/>
      <w:bookmarkEnd w:id="30"/>
    </w:p>
    <w:p>
      <w:pPr>
        <w:spacing w:line="580" w:lineRule="exact"/>
        <w:ind w:firstLine="658"/>
        <w:rPr>
          <w:rFonts w:cs="Times New Roman"/>
          <w:color w:val="auto"/>
          <w:szCs w:val="24"/>
          <w:highlight w:val="none"/>
        </w:rPr>
      </w:pPr>
      <w:r>
        <w:rPr>
          <w:rFonts w:cs="Times New Roman"/>
          <w:b/>
          <w:bCs/>
          <w:color w:val="auto"/>
          <w:szCs w:val="24"/>
          <w:highlight w:val="none"/>
        </w:rPr>
        <w:t>经济发展不确定性增加。</w:t>
      </w:r>
      <w:r>
        <w:rPr>
          <w:rFonts w:cs="Times New Roman"/>
          <w:color w:val="auto"/>
          <w:szCs w:val="24"/>
          <w:highlight w:val="none"/>
        </w:rPr>
        <w:t>新冠肺炎疫情持续演化加速我国经济进入中速增长平台的进程，并带动增长中枢进一步下调。全球供应链受疫情影响面临重整，产业保链、补链、强链任务更加艰巨。国内财政收入增速存在下行压力，存量经济竞争加剧，产业招商、安商、稳商形势严峻，重大项目招引落地的不确定性面临增加。</w:t>
      </w:r>
    </w:p>
    <w:p>
      <w:pPr>
        <w:widowControl/>
        <w:spacing w:line="580" w:lineRule="exact"/>
        <w:ind w:firstLine="658"/>
        <w:rPr>
          <w:rFonts w:cs="Times New Roman"/>
          <w:color w:val="auto"/>
          <w:szCs w:val="32"/>
          <w:highlight w:val="none"/>
        </w:rPr>
      </w:pPr>
      <w:r>
        <w:rPr>
          <w:rFonts w:cs="Times New Roman"/>
          <w:b/>
          <w:color w:val="auto"/>
          <w:szCs w:val="32"/>
          <w:highlight w:val="none"/>
        </w:rPr>
        <w:t>区域间竞争加剧带来新挑战。</w:t>
      </w:r>
      <w:r>
        <w:rPr>
          <w:rFonts w:cs="Times New Roman"/>
          <w:color w:val="auto"/>
          <w:szCs w:val="32"/>
          <w:highlight w:val="none"/>
        </w:rPr>
        <w:t>从省域看，以杭州、宁波为核心的环杭州湾不断集聚各类高端要素，杭绍甬、甬舟、嘉湖等省内一体化合作区竞争优势日趋明显。从市域看，以市区为核心的市域发展核心带建设将加快吸引要素集聚。云和地处市域中间地带，产业平台集聚能力较弱，资金、人才等要素可能面临被“虹吸”的风险，对投资带来挤压效应。</w:t>
      </w:r>
    </w:p>
    <w:p>
      <w:pPr>
        <w:pStyle w:val="2"/>
        <w:ind w:left="0" w:leftChars="0" w:firstLine="655" w:firstLineChars="0"/>
        <w:rPr>
          <w:color w:val="auto"/>
          <w:szCs w:val="32"/>
          <w:highlight w:val="none"/>
        </w:rPr>
      </w:pPr>
      <w:r>
        <w:rPr>
          <w:b/>
          <w:bCs/>
          <w:color w:val="auto"/>
          <w:highlight w:val="none"/>
        </w:rPr>
        <w:t>项目要素保障压力持续增大。</w:t>
      </w:r>
      <w:r>
        <w:rPr>
          <w:color w:val="auto"/>
          <w:szCs w:val="32"/>
          <w:highlight w:val="none"/>
        </w:rPr>
        <w:t>融资环境日益从紧，政府性项目融资难度和银行贷款的难度日益加大，基础设施项目资金缺口扩大，制约基础设施投资增长。土地供给有限，国土空间规划管控刚性不断加强，规划调整空间越来越小，省市土地计划指标不断压减，耕地占补平衡难问题突出，征地拆迁难度加大，项目用地保障问题更加突出。节能降耗要求与经济发展需求存在巨大矛盾，产业项目能耗指标保障困难。</w:t>
      </w:r>
    </w:p>
    <w:p>
      <w:pPr>
        <w:pStyle w:val="4"/>
        <w:keepLines w:val="0"/>
        <w:spacing w:line="592" w:lineRule="exact"/>
        <w:ind w:firstLine="655"/>
        <w:rPr>
          <w:rFonts w:cs="Times New Roman"/>
          <w:color w:val="auto"/>
          <w:highlight w:val="none"/>
        </w:rPr>
      </w:pPr>
      <w:bookmarkStart w:id="31" w:name="_Toc18016"/>
      <w:bookmarkStart w:id="32" w:name="_Toc22813"/>
      <w:bookmarkStart w:id="33" w:name="_Toc25604"/>
      <w:bookmarkStart w:id="34" w:name="_Toc5989"/>
      <w:bookmarkStart w:id="35" w:name="_Toc68621820"/>
      <w:bookmarkStart w:id="36" w:name="_Toc14682"/>
      <w:bookmarkStart w:id="37" w:name="_Toc8397"/>
      <w:bookmarkStart w:id="38" w:name="_Toc8955"/>
      <w:bookmarkStart w:id="39" w:name="_Toc25443"/>
      <w:bookmarkStart w:id="40" w:name="_Toc27726"/>
      <w:bookmarkStart w:id="41" w:name="_Toc19456"/>
      <w:bookmarkStart w:id="42" w:name="_Toc16779"/>
      <w:bookmarkStart w:id="43" w:name="_Toc21630"/>
      <w:r>
        <w:rPr>
          <w:rFonts w:cs="Times New Roman"/>
          <w:color w:val="auto"/>
          <w:highlight w:val="none"/>
        </w:rPr>
        <w:t>三、总体思路</w:t>
      </w:r>
      <w:bookmarkEnd w:id="31"/>
      <w:bookmarkEnd w:id="32"/>
      <w:bookmarkEnd w:id="33"/>
      <w:bookmarkEnd w:id="34"/>
      <w:bookmarkEnd w:id="35"/>
      <w:bookmarkEnd w:id="36"/>
      <w:bookmarkEnd w:id="37"/>
      <w:bookmarkEnd w:id="38"/>
      <w:bookmarkEnd w:id="39"/>
      <w:bookmarkEnd w:id="40"/>
      <w:bookmarkEnd w:id="41"/>
      <w:bookmarkEnd w:id="42"/>
      <w:bookmarkEnd w:id="43"/>
    </w:p>
    <w:p>
      <w:pPr>
        <w:pStyle w:val="5"/>
        <w:keepLines w:val="0"/>
        <w:spacing w:line="580" w:lineRule="exact"/>
        <w:ind w:firstLine="655"/>
        <w:rPr>
          <w:rFonts w:cs="Times New Roman"/>
          <w:b w:val="0"/>
          <w:bCs/>
          <w:color w:val="auto"/>
          <w:highlight w:val="none"/>
        </w:rPr>
      </w:pPr>
      <w:bookmarkStart w:id="44" w:name="_Toc17774"/>
      <w:bookmarkStart w:id="45" w:name="_Toc7131"/>
      <w:bookmarkStart w:id="46" w:name="_Toc68621821"/>
      <w:bookmarkStart w:id="47" w:name="_Toc6746"/>
      <w:bookmarkStart w:id="48" w:name="_Toc21517"/>
      <w:bookmarkStart w:id="49" w:name="_Toc22929"/>
      <w:bookmarkStart w:id="50" w:name="_Toc18661"/>
      <w:bookmarkStart w:id="51" w:name="_Toc21410"/>
      <w:bookmarkStart w:id="52" w:name="_Toc11511"/>
      <w:bookmarkStart w:id="53" w:name="_Toc19684"/>
      <w:bookmarkStart w:id="54" w:name="_Toc150"/>
      <w:bookmarkStart w:id="55" w:name="_Toc23124"/>
      <w:bookmarkStart w:id="56" w:name="_Toc1107"/>
      <w:r>
        <w:rPr>
          <w:rFonts w:cs="Times New Roman"/>
          <w:b w:val="0"/>
          <w:bCs/>
          <w:color w:val="auto"/>
          <w:highlight w:val="none"/>
        </w:rPr>
        <w:t>（一）指导思想</w:t>
      </w:r>
      <w:bookmarkEnd w:id="44"/>
      <w:bookmarkEnd w:id="45"/>
      <w:bookmarkEnd w:id="46"/>
      <w:bookmarkEnd w:id="47"/>
      <w:bookmarkEnd w:id="48"/>
      <w:bookmarkEnd w:id="49"/>
      <w:bookmarkEnd w:id="50"/>
      <w:bookmarkEnd w:id="51"/>
      <w:bookmarkEnd w:id="52"/>
      <w:bookmarkEnd w:id="53"/>
      <w:bookmarkEnd w:id="54"/>
      <w:bookmarkEnd w:id="55"/>
      <w:bookmarkEnd w:id="56"/>
    </w:p>
    <w:p>
      <w:pPr>
        <w:spacing w:line="580" w:lineRule="exact"/>
        <w:ind w:firstLine="655"/>
        <w:rPr>
          <w:rFonts w:cs="Times New Roman"/>
          <w:color w:val="auto"/>
          <w:highlight w:val="none"/>
        </w:rPr>
      </w:pPr>
      <w:r>
        <w:rPr>
          <w:rFonts w:cs="Times New Roman"/>
          <w:color w:val="auto"/>
          <w:highlight w:val="none"/>
        </w:rPr>
        <w:t>以习近平新时代中国特色社会主义思想为指导，全面贯彻党的十九大和十九届二中、三中、四中、五中、六中全会精神以及省委省政府的决策部署，坚持新发展理念，以供给侧结构性改革为主线，以厉行“丽水之干”奋力推进高质量绿色发展，全面贯彻“八个坚持”基本要求，围绕产业转型、交通设施、城乡统筹、生态环保、公共服务等五大主题，谋划实施一批重大项目，补短板、促升级、增后劲、惠民生，更好发挥好有效投资的关键作用，为云和加快跨越式高质量发展推动共同富裕提供有力支撑，为全市建设共同富裕美好社会山区样板作出重要贡献。</w:t>
      </w:r>
    </w:p>
    <w:p>
      <w:pPr>
        <w:pStyle w:val="5"/>
        <w:spacing w:line="580" w:lineRule="exact"/>
        <w:ind w:firstLine="655"/>
        <w:rPr>
          <w:rFonts w:cs="Times New Roman"/>
          <w:b w:val="0"/>
          <w:bCs/>
          <w:color w:val="auto"/>
          <w:highlight w:val="none"/>
        </w:rPr>
      </w:pPr>
      <w:bookmarkStart w:id="57" w:name="_Toc22696"/>
      <w:bookmarkStart w:id="58" w:name="_Toc26567"/>
      <w:bookmarkStart w:id="59" w:name="_Toc15142"/>
      <w:bookmarkStart w:id="60" w:name="_Toc13674"/>
      <w:bookmarkStart w:id="61" w:name="_Toc31455"/>
      <w:bookmarkStart w:id="62" w:name="_Toc18173"/>
      <w:bookmarkStart w:id="63" w:name="_Toc29639"/>
      <w:bookmarkStart w:id="64" w:name="_Toc31108"/>
      <w:bookmarkStart w:id="65" w:name="_Toc68621822"/>
      <w:bookmarkStart w:id="66" w:name="_Toc1210"/>
      <w:bookmarkStart w:id="67" w:name="_Toc9688"/>
      <w:bookmarkStart w:id="68" w:name="_Toc31526"/>
      <w:bookmarkStart w:id="69" w:name="_Toc1074"/>
      <w:r>
        <w:rPr>
          <w:rFonts w:cs="Times New Roman"/>
          <w:b w:val="0"/>
          <w:bCs/>
          <w:color w:val="auto"/>
          <w:highlight w:val="none"/>
        </w:rPr>
        <w:t>（二）基本原则</w:t>
      </w:r>
      <w:bookmarkEnd w:id="57"/>
      <w:bookmarkEnd w:id="58"/>
      <w:bookmarkEnd w:id="59"/>
      <w:bookmarkEnd w:id="60"/>
      <w:bookmarkEnd w:id="61"/>
      <w:bookmarkEnd w:id="62"/>
      <w:bookmarkEnd w:id="63"/>
      <w:bookmarkEnd w:id="64"/>
      <w:bookmarkEnd w:id="65"/>
      <w:bookmarkEnd w:id="66"/>
      <w:bookmarkEnd w:id="67"/>
      <w:bookmarkEnd w:id="68"/>
      <w:bookmarkEnd w:id="69"/>
    </w:p>
    <w:p>
      <w:pPr>
        <w:spacing w:line="580" w:lineRule="exact"/>
        <w:ind w:firstLine="658"/>
        <w:rPr>
          <w:rFonts w:cs="Times New Roman"/>
          <w:b/>
          <w:bCs/>
          <w:color w:val="auto"/>
          <w:highlight w:val="none"/>
        </w:rPr>
      </w:pPr>
      <w:r>
        <w:rPr>
          <w:rFonts w:cs="Times New Roman"/>
          <w:b/>
          <w:bCs/>
          <w:color w:val="auto"/>
          <w:highlight w:val="none"/>
        </w:rPr>
        <w:t>突出战略引领。</w:t>
      </w:r>
      <w:r>
        <w:rPr>
          <w:rFonts w:cs="Times New Roman"/>
          <w:color w:val="auto"/>
          <w:highlight w:val="none"/>
        </w:rPr>
        <w:t>围绕打造全国山区新型城镇化样板、全域5A童话大花园、国际木制玩具名城的要求，重点选择对全县经济社会发展具有全局性、基础性、战略性的投资项目，形成新的经济增长点，推动经济社会高质量发展。</w:t>
      </w:r>
    </w:p>
    <w:p>
      <w:pPr>
        <w:pStyle w:val="11"/>
        <w:spacing w:after="0" w:line="580" w:lineRule="exact"/>
        <w:ind w:firstLine="658"/>
        <w:rPr>
          <w:rFonts w:cs="Times New Roman"/>
          <w:color w:val="auto"/>
          <w:highlight w:val="none"/>
        </w:rPr>
      </w:pPr>
      <w:r>
        <w:rPr>
          <w:rFonts w:cs="Times New Roman"/>
          <w:b/>
          <w:bCs/>
          <w:color w:val="auto"/>
          <w:highlight w:val="none"/>
        </w:rPr>
        <w:t>突出结构优化。</w:t>
      </w:r>
      <w:r>
        <w:rPr>
          <w:rFonts w:cs="Times New Roman"/>
          <w:color w:val="auto"/>
          <w:highlight w:val="none"/>
        </w:rPr>
        <w:t>统筹生活、生产和生态效益，合理配置各类要素资源，更加注重促消费、惠民生、强支撑的新型基础设施和新型城镇化建设，更加注重补齐综合交通、工业投资、民间投资等短板，实现投资结构优化和质量效益提升。</w:t>
      </w:r>
    </w:p>
    <w:p>
      <w:pPr>
        <w:spacing w:line="580" w:lineRule="exact"/>
        <w:ind w:firstLine="658"/>
        <w:rPr>
          <w:rFonts w:cs="Times New Roman"/>
          <w:color w:val="auto"/>
          <w:highlight w:val="none"/>
        </w:rPr>
      </w:pPr>
      <w:r>
        <w:rPr>
          <w:rFonts w:cs="Times New Roman"/>
          <w:b/>
          <w:bCs/>
          <w:color w:val="auto"/>
          <w:highlight w:val="none"/>
        </w:rPr>
        <w:t>突出谋划为要。</w:t>
      </w:r>
      <w:r>
        <w:rPr>
          <w:rFonts w:cs="Times New Roman"/>
          <w:color w:val="auto"/>
          <w:highlight w:val="none"/>
        </w:rPr>
        <w:t>扎实做好“十三五”重大项目续建工作，积极推进“十四五”重大项目实施。加强对中远期工作的前期研究，加大生态制造业、高端服务业、基础设施等重点领域项目谋划和储备，努力掌握新一轮发展的战略主动权。</w:t>
      </w:r>
    </w:p>
    <w:p>
      <w:pPr>
        <w:spacing w:line="580" w:lineRule="exact"/>
        <w:ind w:firstLine="658"/>
        <w:rPr>
          <w:rFonts w:cs="Times New Roman"/>
          <w:b/>
          <w:bCs/>
          <w:color w:val="auto"/>
          <w:highlight w:val="none"/>
        </w:rPr>
      </w:pPr>
      <w:r>
        <w:rPr>
          <w:rFonts w:cs="Times New Roman"/>
          <w:b/>
          <w:bCs/>
          <w:color w:val="auto"/>
          <w:highlight w:val="none"/>
        </w:rPr>
        <w:t>突出前期到位。</w:t>
      </w:r>
      <w:r>
        <w:rPr>
          <w:rFonts w:cs="Times New Roman"/>
          <w:color w:val="auto"/>
          <w:highlight w:val="none"/>
        </w:rPr>
        <w:t>重点选择符合国家、省、市、县等相关规划要求，符合产业政策，且具备良好工作基础，有利于尽快推进实施的大项目。</w:t>
      </w:r>
    </w:p>
    <w:p>
      <w:pPr>
        <w:pStyle w:val="5"/>
        <w:spacing w:line="580" w:lineRule="exact"/>
        <w:ind w:firstLine="655"/>
        <w:rPr>
          <w:rStyle w:val="26"/>
          <w:rFonts w:cs="Times New Roman"/>
          <w:b w:val="0"/>
          <w:bCs w:val="0"/>
          <w:color w:val="auto"/>
          <w:highlight w:val="none"/>
        </w:rPr>
      </w:pPr>
      <w:bookmarkStart w:id="70" w:name="_Toc27667"/>
      <w:bookmarkStart w:id="71" w:name="_Toc15084"/>
      <w:bookmarkStart w:id="72" w:name="_Toc15866"/>
      <w:bookmarkStart w:id="73" w:name="_Toc32267"/>
      <w:bookmarkStart w:id="74" w:name="_Toc18541"/>
      <w:bookmarkStart w:id="75" w:name="_Toc7865"/>
      <w:bookmarkStart w:id="76" w:name="_Toc13110"/>
      <w:bookmarkStart w:id="77" w:name="_Toc31687"/>
      <w:bookmarkStart w:id="78" w:name="_Toc29610"/>
      <w:bookmarkStart w:id="79" w:name="_Toc68621823"/>
      <w:bookmarkStart w:id="80" w:name="_Toc25921"/>
      <w:bookmarkStart w:id="81" w:name="_Toc13282"/>
      <w:bookmarkStart w:id="82" w:name="_Toc25117"/>
      <w:r>
        <w:rPr>
          <w:rStyle w:val="26"/>
          <w:rFonts w:cs="Times New Roman"/>
          <w:b w:val="0"/>
          <w:bCs w:val="0"/>
          <w:color w:val="auto"/>
          <w:highlight w:val="none"/>
        </w:rPr>
        <w:t>（三）总体目标</w:t>
      </w:r>
      <w:bookmarkEnd w:id="70"/>
      <w:bookmarkEnd w:id="71"/>
      <w:bookmarkEnd w:id="72"/>
      <w:bookmarkEnd w:id="73"/>
      <w:bookmarkEnd w:id="74"/>
      <w:bookmarkEnd w:id="75"/>
      <w:bookmarkEnd w:id="76"/>
      <w:bookmarkEnd w:id="77"/>
      <w:bookmarkEnd w:id="78"/>
      <w:bookmarkEnd w:id="79"/>
      <w:bookmarkEnd w:id="80"/>
      <w:bookmarkEnd w:id="81"/>
      <w:bookmarkEnd w:id="82"/>
    </w:p>
    <w:p>
      <w:pPr>
        <w:spacing w:line="580" w:lineRule="exact"/>
        <w:ind w:firstLine="655"/>
        <w:rPr>
          <w:rFonts w:cs="Times New Roman"/>
          <w:color w:val="auto"/>
          <w:highlight w:val="none"/>
        </w:rPr>
      </w:pPr>
      <w:r>
        <w:rPr>
          <w:rFonts w:cs="Times New Roman"/>
          <w:color w:val="auto"/>
          <w:highlight w:val="none"/>
        </w:rPr>
        <w:t>通过“十四五”期间努力，分类精准推进五大领域重大项目建设，形成“谋划盯引一批、前期协同一批、建设实施一批、建成投产一批”的梯度推进格局，力争五年完成重大项目投资</w:t>
      </w:r>
      <w:r>
        <w:rPr>
          <w:rFonts w:hint="eastAsia" w:cs="Times New Roman"/>
          <w:color w:val="auto"/>
          <w:highlight w:val="none"/>
          <w:lang w:val="en-US" w:eastAsia="zh-CN"/>
        </w:rPr>
        <w:t>415</w:t>
      </w:r>
      <w:r>
        <w:rPr>
          <w:rFonts w:cs="Times New Roman"/>
          <w:color w:val="auto"/>
          <w:highlight w:val="none"/>
        </w:rPr>
        <w:t>亿元左右，带动全县固定资产投资年均增长15%以上。</w:t>
      </w:r>
    </w:p>
    <w:p>
      <w:pPr>
        <w:spacing w:line="580" w:lineRule="exact"/>
        <w:ind w:firstLine="658"/>
        <w:rPr>
          <w:rFonts w:cs="Times New Roman"/>
          <w:bCs/>
          <w:color w:val="auto"/>
          <w:szCs w:val="32"/>
          <w:highlight w:val="none"/>
        </w:rPr>
      </w:pPr>
      <w:r>
        <w:rPr>
          <w:rFonts w:cs="Times New Roman"/>
          <w:b/>
          <w:bCs/>
          <w:color w:val="auto"/>
          <w:highlight w:val="none"/>
        </w:rPr>
        <w:t>——投资结构进一步优化。</w:t>
      </w:r>
      <w:r>
        <w:rPr>
          <w:rFonts w:cs="Times New Roman"/>
          <w:color w:val="auto"/>
          <w:highlight w:val="none"/>
        </w:rPr>
        <w:t>更加重视投资质量和效益提升，聚焦产业转型升级、综合交通完善、城乡统筹发展、生态环境保护、保障和改善民生等领域，推进建设150个左右强基础、惠民生、利长远的重大项目。力争“十四五”时期，民间投资、交通投资、制造业投资、高新技术投资、生态环保、城市更新和水利设施投资等关键投资指标较快增长（不低于面上增速）</w:t>
      </w:r>
      <w:r>
        <w:rPr>
          <w:rFonts w:cs="Times New Roman"/>
          <w:bCs/>
          <w:color w:val="auto"/>
          <w:szCs w:val="32"/>
          <w:highlight w:val="none"/>
        </w:rPr>
        <w:t>。</w:t>
      </w:r>
    </w:p>
    <w:p>
      <w:pPr>
        <w:spacing w:line="580" w:lineRule="exact"/>
        <w:ind w:firstLine="658"/>
        <w:rPr>
          <w:rFonts w:cs="Times New Roman"/>
          <w:color w:val="auto"/>
          <w:szCs w:val="32"/>
          <w:highlight w:val="none"/>
        </w:rPr>
      </w:pPr>
      <w:r>
        <w:rPr>
          <w:rFonts w:cs="Times New Roman"/>
          <w:b/>
          <w:bCs/>
          <w:color w:val="auto"/>
          <w:highlight w:val="none"/>
        </w:rPr>
        <w:t>——产业布局进一步聚集。</w:t>
      </w:r>
      <w:r>
        <w:rPr>
          <w:rFonts w:cs="Times New Roman"/>
          <w:color w:val="auto"/>
          <w:szCs w:val="32"/>
          <w:highlight w:val="none"/>
        </w:rPr>
        <w:t>加快产业平台的基础设施建设，增强产业发展支撑能力，推进重大产业项目向平台集聚。木玩童话小镇核心区块、生态产品价值实现示范区、工业园区等平台扩面扩容，提升制造业承载能力。科创绿谷加快谋划布局，引入一批高能级科创项目。</w:t>
      </w:r>
    </w:p>
    <w:p>
      <w:pPr>
        <w:spacing w:line="580" w:lineRule="exact"/>
        <w:ind w:firstLine="658"/>
        <w:rPr>
          <w:rFonts w:cs="Times New Roman"/>
          <w:color w:val="auto"/>
          <w:szCs w:val="32"/>
          <w:highlight w:val="none"/>
        </w:rPr>
      </w:pPr>
      <w:r>
        <w:rPr>
          <w:rFonts w:cs="Times New Roman"/>
          <w:b/>
          <w:bCs/>
          <w:color w:val="auto"/>
          <w:highlight w:val="none"/>
        </w:rPr>
        <w:t>——投资环境进一步改善。</w:t>
      </w:r>
      <w:r>
        <w:rPr>
          <w:rFonts w:cs="Times New Roman"/>
          <w:bCs/>
          <w:color w:val="auto"/>
          <w:kern w:val="0"/>
          <w:highlight w:val="none"/>
        </w:rPr>
        <w:t>突出整体智治、数字赋能、高效协同，</w:t>
      </w:r>
      <w:r>
        <w:rPr>
          <w:rFonts w:cs="Times New Roman"/>
          <w:color w:val="auto"/>
          <w:szCs w:val="32"/>
          <w:highlight w:val="none"/>
        </w:rPr>
        <w:t>深入实施项目精准服务，投融资体制机制更加完善，国资国企平台作用进一步发挥，保障项目实施的有效制度供给加快补足，民间投资动力和活力充分激发。</w:t>
      </w:r>
    </w:p>
    <w:p>
      <w:pPr>
        <w:pStyle w:val="4"/>
        <w:spacing w:line="592" w:lineRule="exact"/>
        <w:ind w:firstLine="655"/>
        <w:rPr>
          <w:rFonts w:cs="Times New Roman"/>
          <w:color w:val="auto"/>
          <w:highlight w:val="none"/>
        </w:rPr>
      </w:pPr>
      <w:bookmarkStart w:id="83" w:name="_Toc19778"/>
      <w:bookmarkStart w:id="84" w:name="_Toc25554"/>
      <w:bookmarkStart w:id="85" w:name="_Toc25889"/>
      <w:bookmarkStart w:id="86" w:name="_Toc7193"/>
      <w:bookmarkStart w:id="87" w:name="_Toc1286"/>
      <w:bookmarkStart w:id="88" w:name="_Toc4372"/>
      <w:bookmarkStart w:id="89" w:name="_Toc12315"/>
      <w:bookmarkStart w:id="90" w:name="_Toc32538"/>
      <w:bookmarkStart w:id="91" w:name="_Toc68621824"/>
      <w:bookmarkStart w:id="92" w:name="_Toc2444"/>
      <w:bookmarkStart w:id="93" w:name="_Toc30039"/>
      <w:bookmarkStart w:id="94" w:name="_Toc7975"/>
      <w:bookmarkStart w:id="95" w:name="_Toc21773"/>
      <w:r>
        <w:rPr>
          <w:rFonts w:cs="Times New Roman"/>
          <w:color w:val="auto"/>
          <w:highlight w:val="none"/>
        </w:rPr>
        <w:t>四、</w:t>
      </w:r>
      <w:bookmarkEnd w:id="83"/>
      <w:bookmarkEnd w:id="84"/>
      <w:bookmarkEnd w:id="85"/>
      <w:bookmarkEnd w:id="86"/>
      <w:bookmarkEnd w:id="87"/>
      <w:r>
        <w:rPr>
          <w:rFonts w:cs="Times New Roman"/>
          <w:color w:val="auto"/>
          <w:highlight w:val="none"/>
        </w:rPr>
        <w:t>主要任务</w:t>
      </w:r>
      <w:bookmarkEnd w:id="88"/>
      <w:bookmarkEnd w:id="89"/>
      <w:bookmarkEnd w:id="90"/>
      <w:bookmarkEnd w:id="91"/>
      <w:bookmarkEnd w:id="92"/>
      <w:bookmarkEnd w:id="93"/>
      <w:bookmarkEnd w:id="94"/>
      <w:bookmarkEnd w:id="95"/>
      <w:bookmarkStart w:id="96" w:name="_Toc6845"/>
      <w:bookmarkStart w:id="97" w:name="_Toc21275"/>
      <w:bookmarkStart w:id="98" w:name="_Toc30745"/>
      <w:bookmarkStart w:id="99" w:name="_Toc32359"/>
      <w:bookmarkStart w:id="100" w:name="_Toc23238"/>
    </w:p>
    <w:p>
      <w:pPr>
        <w:widowControl/>
        <w:spacing w:line="580" w:lineRule="exact"/>
        <w:ind w:firstLine="655"/>
        <w:jc w:val="left"/>
        <w:outlineLvl w:val="1"/>
        <w:rPr>
          <w:rFonts w:eastAsia="楷体_GB2312" w:cs="Times New Roman"/>
          <w:bCs/>
          <w:color w:val="auto"/>
          <w:szCs w:val="32"/>
          <w:highlight w:val="none"/>
        </w:rPr>
      </w:pPr>
      <w:bookmarkStart w:id="101" w:name="_Toc68621825"/>
      <w:bookmarkStart w:id="102" w:name="_Toc29001"/>
      <w:bookmarkStart w:id="103" w:name="_Toc17132"/>
      <w:bookmarkStart w:id="104" w:name="_Toc3521"/>
      <w:bookmarkStart w:id="105" w:name="_Toc11254"/>
      <w:bookmarkStart w:id="106" w:name="_Toc23796"/>
      <w:bookmarkStart w:id="107" w:name="_Toc13722"/>
      <w:bookmarkStart w:id="108" w:name="_Toc11241"/>
      <w:r>
        <w:rPr>
          <w:rFonts w:eastAsia="楷体_GB2312" w:cs="Times New Roman"/>
          <w:bCs/>
          <w:color w:val="auto"/>
          <w:szCs w:val="32"/>
          <w:highlight w:val="none"/>
        </w:rPr>
        <w:t>（一）产业转型领域</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11"/>
        <w:spacing w:after="0" w:line="580" w:lineRule="exact"/>
        <w:ind w:firstLine="655"/>
        <w:rPr>
          <w:rFonts w:cs="Times New Roman"/>
          <w:color w:val="auto"/>
          <w:highlight w:val="none"/>
        </w:rPr>
      </w:pPr>
      <w:r>
        <w:rPr>
          <w:rFonts w:cs="Times New Roman"/>
          <w:color w:val="auto"/>
          <w:highlight w:val="none"/>
        </w:rPr>
        <w:t>贯彻“生态经济化、经济生态化”发展方针，以产业基础高级化、产业链现代化为导向，加快形成木制玩具、现代制造、生态旅游、“云和师傅”四大百亿产业体系，全力推进平台“二次创业”，促进经济发展质量变革、效率变革、动力变革。</w:t>
      </w:r>
      <w:r>
        <w:rPr>
          <w:rFonts w:cs="Times New Roman"/>
          <w:bCs/>
          <w:color w:val="auto"/>
          <w:szCs w:val="32"/>
          <w:highlight w:val="none"/>
        </w:rPr>
        <w:t>“十四五”期间，力争实施重大项目54个左右，</w:t>
      </w:r>
      <w:r>
        <w:rPr>
          <w:rFonts w:cs="Times New Roman"/>
          <w:color w:val="auto"/>
          <w:highlight w:val="none"/>
        </w:rPr>
        <w:t>完成产业转型投资184亿元左右。</w:t>
      </w:r>
    </w:p>
    <w:p>
      <w:pPr>
        <w:spacing w:line="580" w:lineRule="exact"/>
        <w:ind w:firstLine="658"/>
        <w:rPr>
          <w:rFonts w:cs="Times New Roman"/>
          <w:color w:val="auto"/>
          <w:highlight w:val="none"/>
        </w:rPr>
      </w:pPr>
      <w:r>
        <w:rPr>
          <w:rFonts w:cs="Times New Roman"/>
          <w:b/>
          <w:bCs/>
          <w:color w:val="auto"/>
          <w:highlight w:val="none"/>
        </w:rPr>
        <w:t>1.生态农业</w:t>
      </w:r>
    </w:p>
    <w:p>
      <w:pPr>
        <w:pStyle w:val="2"/>
        <w:spacing w:after="0" w:line="580" w:lineRule="exact"/>
        <w:ind w:left="0" w:leftChars="0" w:firstLine="655"/>
        <w:rPr>
          <w:color w:val="auto"/>
          <w:highlight w:val="none"/>
        </w:rPr>
      </w:pPr>
      <w:r>
        <w:rPr>
          <w:color w:val="auto"/>
          <w:szCs w:val="32"/>
          <w:highlight w:val="none"/>
        </w:rPr>
        <w:t>落实最严格的耕地保护制度，有序推进高标准农田建设和荒芜农田复垦，重点实施土地整治、农田基础设施提升项目。按照产业集聚、要素集约、功能集合、企业集中、政策集成的原则，实施农业优势主导产业转型提升“412工程”，布局打造雪梨、茶叶、油茶、食用菌、香榧等农业种植经济带，重点推进雪梨产业提升工程等项目建设。实施小微田园综合体“115工程”，力争打造50个小微田园综合体，重点推进安溪田园综合体、三门田（果）园综合体、田</w:t>
      </w:r>
      <w:r>
        <w:rPr>
          <w:rFonts w:eastAsia="仿宋"/>
          <w:color w:val="auto"/>
          <w:szCs w:val="32"/>
          <w:highlight w:val="none"/>
        </w:rPr>
        <w:t>垟</w:t>
      </w:r>
      <w:r>
        <w:rPr>
          <w:color w:val="auto"/>
          <w:szCs w:val="32"/>
          <w:highlight w:val="none"/>
        </w:rPr>
        <w:t>田园综合体等项目建设。</w:t>
      </w:r>
      <w:r>
        <w:rPr>
          <w:bCs/>
          <w:color w:val="auto"/>
          <w:highlight w:val="none"/>
        </w:rPr>
        <w:t>“十四五”期间，力争实施生态农业重大项目10个左右，完成投资10亿元左右。</w:t>
      </w:r>
    </w:p>
    <w:p>
      <w:pPr>
        <w:spacing w:line="580" w:lineRule="exact"/>
        <w:ind w:firstLine="658"/>
        <w:rPr>
          <w:rFonts w:cs="Times New Roman"/>
          <w:color w:val="auto"/>
          <w:highlight w:val="none"/>
        </w:rPr>
      </w:pPr>
      <w:r>
        <w:rPr>
          <w:rFonts w:cs="Times New Roman"/>
          <w:b/>
          <w:bCs/>
          <w:color w:val="auto"/>
          <w:highlight w:val="none"/>
        </w:rPr>
        <w:t>2.生态制造业</w:t>
      </w:r>
    </w:p>
    <w:p>
      <w:pPr>
        <w:numPr>
          <w:ilvl w:val="255"/>
          <w:numId w:val="0"/>
        </w:numPr>
        <w:spacing w:line="580" w:lineRule="exact"/>
        <w:ind w:firstLine="654" w:firstLineChars="200"/>
        <w:rPr>
          <w:rFonts w:cs="Times New Roman"/>
          <w:color w:val="auto"/>
          <w:szCs w:val="32"/>
          <w:highlight w:val="none"/>
        </w:rPr>
      </w:pPr>
      <w:r>
        <w:rPr>
          <w:rFonts w:cs="Times New Roman"/>
          <w:color w:val="auto"/>
          <w:szCs w:val="32"/>
          <w:highlight w:val="none"/>
        </w:rPr>
        <w:t>以智能化、数字化、自动化为导向，推进传统木玩企业技术改造，实施木制玩具创业孵化基地、木玩智创空间、木玩产业创新服务综合体等项目建设，促进木制玩具产业向价值链高端攀升。围绕推动金属加工产业向高端转型升级，实施丽水华宏钢铁制品有限公司优特钢项目，谋划推进汽车拆解项目。围绕打造精密装备制造产业体系，重点推进浙江启烨玩具有限公司年产400万套木制玩具项目、声光电玩具产业园等项目建设，谋划推进汽车转向轴核心部件球笼保持架、年产1.2万套环保治理设备等项目。围绕打造新材料产业体系，重点实施商品混凝土项目，谋划实施年产10000吨超轻热塑性弹性体微发泡材料、交牙矿地综合利用等项目。“十四五”期间，力争实施生态制造业重大项目9个左右，完成投资69亿元左右。</w:t>
      </w:r>
    </w:p>
    <w:p>
      <w:pPr>
        <w:spacing w:line="580" w:lineRule="exact"/>
        <w:ind w:firstLine="658"/>
        <w:rPr>
          <w:rFonts w:cs="Times New Roman"/>
          <w:color w:val="auto"/>
          <w:highlight w:val="none"/>
        </w:rPr>
      </w:pPr>
      <w:r>
        <w:rPr>
          <w:rFonts w:cs="Times New Roman"/>
          <w:b/>
          <w:bCs/>
          <w:color w:val="auto"/>
          <w:highlight w:val="none"/>
        </w:rPr>
        <w:t>3.生态服务业</w:t>
      </w:r>
    </w:p>
    <w:p>
      <w:pPr>
        <w:pStyle w:val="60"/>
        <w:spacing w:line="580" w:lineRule="exact"/>
        <w:ind w:firstLine="658"/>
        <w:rPr>
          <w:bCs/>
          <w:color w:val="auto"/>
          <w:highlight w:val="none"/>
          <w:lang w:val="en-US"/>
        </w:rPr>
      </w:pPr>
      <w:r>
        <w:rPr>
          <w:b/>
          <w:bCs/>
          <w:color w:val="auto"/>
          <w:highlight w:val="none"/>
          <w:lang w:val="en-US"/>
        </w:rPr>
        <w:t>旅游及养生养老产业。</w:t>
      </w:r>
      <w:r>
        <w:rPr>
          <w:bCs/>
          <w:color w:val="auto"/>
          <w:highlight w:val="none"/>
          <w:lang w:val="en-US"/>
        </w:rPr>
        <w:t>围绕优化提升“一城一湖一梯田”空间格局，全面实施</w:t>
      </w:r>
      <w:r>
        <w:rPr>
          <w:bCs/>
          <w:color w:val="auto"/>
          <w:highlight w:val="none"/>
        </w:rPr>
        <w:t>“旅游跨越发展3610工程”，</w:t>
      </w:r>
      <w:r>
        <w:rPr>
          <w:bCs/>
          <w:color w:val="auto"/>
          <w:highlight w:val="none"/>
          <w:lang w:val="en-US"/>
        </w:rPr>
        <w:t>重点推进</w:t>
      </w:r>
      <w:r>
        <w:rPr>
          <w:color w:val="auto"/>
          <w:highlight w:val="none"/>
        </w:rPr>
        <w:t>云和梯田</w:t>
      </w:r>
      <w:r>
        <w:rPr>
          <w:color w:val="auto"/>
          <w:highlight w:val="none"/>
          <w:lang w:val="en-US"/>
        </w:rPr>
        <w:t>5A级</w:t>
      </w:r>
      <w:r>
        <w:rPr>
          <w:color w:val="auto"/>
          <w:highlight w:val="none"/>
        </w:rPr>
        <w:t>旅游区、白鹤尖4A级景区、</w:t>
      </w:r>
      <w:r>
        <w:rPr>
          <w:color w:val="auto"/>
          <w:highlight w:val="none"/>
          <w:lang w:val="en-US"/>
        </w:rPr>
        <w:t>佛儿岩4A景区创建、</w:t>
      </w:r>
      <w:r>
        <w:rPr>
          <w:color w:val="auto"/>
          <w:szCs w:val="24"/>
          <w:highlight w:val="none"/>
          <w:lang w:val="en-US" w:bidi="ar"/>
        </w:rPr>
        <w:t>全域旅游基础配套建设工程等项目。</w:t>
      </w:r>
      <w:r>
        <w:rPr>
          <w:bCs/>
          <w:color w:val="auto"/>
          <w:highlight w:val="none"/>
          <w:lang w:val="en-US"/>
        </w:rPr>
        <w:t>围绕打造</w:t>
      </w:r>
      <w:r>
        <w:rPr>
          <w:bCs/>
          <w:color w:val="auto"/>
          <w:highlight w:val="none"/>
        </w:rPr>
        <w:t>科创绿谷（云和湖旅游度假区）</w:t>
      </w:r>
      <w:r>
        <w:rPr>
          <w:bCs/>
          <w:color w:val="auto"/>
          <w:highlight w:val="none"/>
          <w:lang w:val="en-US"/>
        </w:rPr>
        <w:t>，重点实施</w:t>
      </w:r>
      <w:r>
        <w:rPr>
          <w:bCs/>
          <w:color w:val="auto"/>
          <w:highlight w:val="none"/>
        </w:rPr>
        <w:t>云和生态养生文化村、嘉瑞温泉度假村、燕庐文化创作基地</w:t>
      </w:r>
      <w:r>
        <w:rPr>
          <w:bCs/>
          <w:color w:val="auto"/>
          <w:highlight w:val="none"/>
          <w:lang w:val="en-US"/>
        </w:rPr>
        <w:t>等项目。围绕建设</w:t>
      </w:r>
      <w:r>
        <w:rPr>
          <w:bCs/>
          <w:color w:val="auto"/>
          <w:highlight w:val="none"/>
        </w:rPr>
        <w:t>木玩童话小镇</w:t>
      </w:r>
      <w:r>
        <w:rPr>
          <w:bCs/>
          <w:color w:val="auto"/>
          <w:highlight w:val="none"/>
          <w:lang w:val="en-US"/>
        </w:rPr>
        <w:t>，重点推进小镇地标建筑、小镇配套等项目。</w:t>
      </w:r>
      <w:r>
        <w:rPr>
          <w:color w:val="auto"/>
          <w:highlight w:val="none"/>
        </w:rPr>
        <w:t>结合瓯江山水诗路文化带建设，推进“旅游+”融合发展，</w:t>
      </w:r>
      <w:r>
        <w:rPr>
          <w:color w:val="auto"/>
          <w:highlight w:val="none"/>
          <w:lang w:val="en-US"/>
        </w:rPr>
        <w:t>重点实施黄家畲清凉小镇、云和县城市心肺（湿地生态整合利用）工程、医养结合的社区老年公寓等项目。</w:t>
      </w:r>
    </w:p>
    <w:p>
      <w:pPr>
        <w:pStyle w:val="60"/>
        <w:spacing w:line="580" w:lineRule="exact"/>
        <w:ind w:firstLine="658"/>
        <w:rPr>
          <w:bCs/>
          <w:color w:val="auto"/>
          <w:highlight w:val="none"/>
          <w:lang w:val="en-US"/>
        </w:rPr>
      </w:pPr>
      <w:r>
        <w:rPr>
          <w:b/>
          <w:bCs/>
          <w:color w:val="auto"/>
          <w:highlight w:val="none"/>
          <w:lang w:val="en-US"/>
        </w:rPr>
        <w:t>商贸物流。</w:t>
      </w:r>
      <w:r>
        <w:rPr>
          <w:color w:val="auto"/>
          <w:highlight w:val="none"/>
        </w:rPr>
        <w:t>围绕</w:t>
      </w:r>
      <w:r>
        <w:rPr>
          <w:color w:val="auto"/>
          <w:highlight w:val="none"/>
          <w:lang w:val="en-US"/>
        </w:rPr>
        <w:t>创建省级</w:t>
      </w:r>
      <w:r>
        <w:rPr>
          <w:color w:val="auto"/>
          <w:highlight w:val="none"/>
        </w:rPr>
        <w:t>现代服务业创新发展区，加强技术创新、业态创新、模式创新，提升</w:t>
      </w:r>
      <w:r>
        <w:rPr>
          <w:color w:val="auto"/>
          <w:highlight w:val="none"/>
          <w:lang w:val="en-US"/>
        </w:rPr>
        <w:t>电子商务、</w:t>
      </w:r>
      <w:r>
        <w:rPr>
          <w:color w:val="auto"/>
          <w:highlight w:val="none"/>
        </w:rPr>
        <w:t>现代物流、商贸服务等发展水平，重点实施智慧交通物流汽车服务综合体、</w:t>
      </w:r>
      <w:r>
        <w:rPr>
          <w:color w:val="auto"/>
          <w:highlight w:val="none"/>
          <w:lang w:val="en-US"/>
        </w:rPr>
        <w:t>童话云和大花园综合配套公共服务中心等项目。</w:t>
      </w:r>
    </w:p>
    <w:p>
      <w:pPr>
        <w:spacing w:line="580" w:lineRule="exact"/>
        <w:ind w:firstLine="658"/>
        <w:rPr>
          <w:rFonts w:cs="Times New Roman"/>
          <w:color w:val="auto"/>
          <w:highlight w:val="none"/>
        </w:rPr>
      </w:pPr>
      <w:r>
        <w:rPr>
          <w:rFonts w:cs="Times New Roman"/>
          <w:b/>
          <w:bCs/>
          <w:color w:val="auto"/>
          <w:highlight w:val="none"/>
        </w:rPr>
        <w:t>数字经济。</w:t>
      </w:r>
      <w:r>
        <w:rPr>
          <w:rFonts w:cs="Times New Roman"/>
          <w:color w:val="auto"/>
          <w:highlight w:val="none"/>
        </w:rPr>
        <w:t>以创建省数字经济示范县为目标，深入实施数字经济“一号工程2.0版”，聚焦数字生态经济发展，培育数字经济核心产业，推进工业数字化转型，重点实施5G网络、生态环境与健康管理信息化平台、智慧市政、智慧园区、县域智慧医疗数据平台、数字乡村建设等项目。</w:t>
      </w:r>
    </w:p>
    <w:p>
      <w:pPr>
        <w:spacing w:line="580" w:lineRule="exact"/>
        <w:ind w:firstLine="655"/>
        <w:rPr>
          <w:rFonts w:cs="Times New Roman"/>
          <w:color w:val="auto"/>
          <w:highlight w:val="none"/>
        </w:rPr>
      </w:pPr>
      <w:r>
        <w:rPr>
          <w:rFonts w:cs="Times New Roman"/>
          <w:bCs/>
          <w:color w:val="auto"/>
          <w:highlight w:val="none"/>
        </w:rPr>
        <w:t>“十四五”期间，力争实施生态服务业重大项目29个左右，完成投资87亿元左右。</w:t>
      </w:r>
    </w:p>
    <w:p>
      <w:pPr>
        <w:pStyle w:val="11"/>
        <w:spacing w:after="0" w:line="580" w:lineRule="exact"/>
        <w:ind w:firstLine="658"/>
        <w:rPr>
          <w:rFonts w:cs="Times New Roman"/>
          <w:b/>
          <w:bCs/>
          <w:color w:val="auto"/>
          <w:highlight w:val="none"/>
        </w:rPr>
      </w:pPr>
      <w:r>
        <w:rPr>
          <w:rFonts w:cs="Times New Roman"/>
          <w:b/>
          <w:bCs/>
          <w:color w:val="auto"/>
          <w:highlight w:val="none"/>
        </w:rPr>
        <w:t>4.产业平台</w:t>
      </w:r>
    </w:p>
    <w:p>
      <w:pPr>
        <w:spacing w:line="580" w:lineRule="exact"/>
        <w:ind w:firstLine="655"/>
        <w:rPr>
          <w:rFonts w:cs="Times New Roman"/>
          <w:color w:val="auto"/>
          <w:szCs w:val="32"/>
          <w:highlight w:val="none"/>
        </w:rPr>
      </w:pPr>
      <w:r>
        <w:rPr>
          <w:rFonts w:cs="Times New Roman"/>
          <w:color w:val="auto"/>
          <w:szCs w:val="32"/>
          <w:highlight w:val="none"/>
        </w:rPr>
        <w:t>围绕“万亩千亿”发展目标，以平台“二次创业”抓手，进一步加强全县工业平台统筹整合、园区集聚，重点提升发展工业园区，加快建设云和县生态产品价值实现示范区。按照“腾笼换鸟、退二优二、退二进三”的要求，工业园区重点推进公共服务中心、基础配套设施建设及提升、沙溪区块移民湾地块开发、老木制玩具城区块“退二优二”改造等项目。围绕打造童话木玩、现代农旅、现代装备制造、商贸仓储物流、未来社区等多业态共存、融合发展的示范区，云和县生态产品价值实现示范区重点推进一期赤龙区块建设。“十四五”期间，力争实施产业平台重大项目6个左右，完成投资</w:t>
      </w:r>
      <w:r>
        <w:rPr>
          <w:rFonts w:cs="Times New Roman"/>
          <w:color w:val="auto"/>
          <w:szCs w:val="32"/>
          <w:highlight w:val="none"/>
        </w:rPr>
        <w:t>18亿</w:t>
      </w:r>
      <w:r>
        <w:rPr>
          <w:rFonts w:cs="Times New Roman"/>
          <w:color w:val="auto"/>
          <w:szCs w:val="32"/>
          <w:highlight w:val="none"/>
        </w:rPr>
        <w:t>元左右。</w:t>
      </w:r>
    </w:p>
    <w:p>
      <w:pPr>
        <w:pStyle w:val="2"/>
        <w:ind w:left="655" w:firstLine="655"/>
        <w:rPr>
          <w:rFonts w:hint="eastAsia"/>
          <w:color w:val="auto"/>
          <w:highlight w:val="none"/>
        </w:rPr>
      </w:pPr>
    </w:p>
    <w:p>
      <w:pPr>
        <w:spacing w:line="580" w:lineRule="exact"/>
        <w:ind w:firstLine="575"/>
        <w:rPr>
          <w:rFonts w:eastAsia="黑体" w:cs="Times New Roman"/>
          <w:color w:val="auto"/>
          <w:sz w:val="28"/>
          <w:szCs w:val="28"/>
          <w:highlight w:val="none"/>
        </w:rPr>
      </w:pPr>
      <w:r>
        <w:rPr>
          <w:rFonts w:eastAsia="黑体" w:cs="Times New Roman"/>
          <w:color w:val="auto"/>
          <w:sz w:val="28"/>
          <w:szCs w:val="28"/>
          <w:highlight w:val="none"/>
        </w:rPr>
        <w:t>表2  “十四五”期间云和产业转型领域实施类项目汇总表</w:t>
      </w:r>
    </w:p>
    <w:tbl>
      <w:tblPr>
        <w:tblStyle w:val="23"/>
        <w:tblW w:w="4996"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84"/>
        <w:gridCol w:w="2242"/>
        <w:gridCol w:w="1197"/>
        <w:gridCol w:w="1855"/>
        <w:gridCol w:w="24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tblHeader/>
          <w:jc w:val="center"/>
        </w:trPr>
        <w:tc>
          <w:tcPr>
            <w:tcW w:w="350"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序号</w:t>
            </w:r>
          </w:p>
        </w:tc>
        <w:tc>
          <w:tcPr>
            <w:tcW w:w="1347"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项目分类</w:t>
            </w:r>
          </w:p>
        </w:tc>
        <w:tc>
          <w:tcPr>
            <w:tcW w:w="719"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项目数</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（个）</w:t>
            </w:r>
          </w:p>
        </w:tc>
        <w:tc>
          <w:tcPr>
            <w:tcW w:w="1114"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总投资额</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（亿元）</w:t>
            </w:r>
          </w:p>
        </w:tc>
        <w:tc>
          <w:tcPr>
            <w:tcW w:w="1469"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计划完成投资额（亿元）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tblHeader/>
          <w:jc w:val="center"/>
        </w:trPr>
        <w:tc>
          <w:tcPr>
            <w:tcW w:w="350"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1347"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719"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1114"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c>
          <w:tcPr>
            <w:tcW w:w="1469"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0"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w:t>
            </w:r>
          </w:p>
        </w:tc>
        <w:tc>
          <w:tcPr>
            <w:tcW w:w="1347"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生态农业</w:t>
            </w:r>
          </w:p>
        </w:tc>
        <w:tc>
          <w:tcPr>
            <w:tcW w:w="119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10</w:t>
            </w:r>
          </w:p>
        </w:tc>
        <w:tc>
          <w:tcPr>
            <w:tcW w:w="185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10.8</w:t>
            </w:r>
          </w:p>
        </w:tc>
        <w:tc>
          <w:tcPr>
            <w:tcW w:w="244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0"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w:t>
            </w:r>
          </w:p>
        </w:tc>
        <w:tc>
          <w:tcPr>
            <w:tcW w:w="1347"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生态制造业</w:t>
            </w:r>
          </w:p>
        </w:tc>
        <w:tc>
          <w:tcPr>
            <w:tcW w:w="119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9</w:t>
            </w:r>
          </w:p>
        </w:tc>
        <w:tc>
          <w:tcPr>
            <w:tcW w:w="185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117.3</w:t>
            </w:r>
          </w:p>
        </w:tc>
        <w:tc>
          <w:tcPr>
            <w:tcW w:w="244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68.8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0"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3</w:t>
            </w:r>
          </w:p>
        </w:tc>
        <w:tc>
          <w:tcPr>
            <w:tcW w:w="1347"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生态服务业</w:t>
            </w:r>
          </w:p>
        </w:tc>
        <w:tc>
          <w:tcPr>
            <w:tcW w:w="119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29</w:t>
            </w:r>
          </w:p>
        </w:tc>
        <w:tc>
          <w:tcPr>
            <w:tcW w:w="185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154.4</w:t>
            </w:r>
          </w:p>
        </w:tc>
        <w:tc>
          <w:tcPr>
            <w:tcW w:w="2445" w:type="dxa"/>
            <w:noWrap/>
            <w:tcMar>
              <w:top w:w="15" w:type="dxa"/>
              <w:left w:w="15" w:type="dxa"/>
              <w:right w:w="15" w:type="dxa"/>
            </w:tcMar>
            <w:vAlign w:val="center"/>
          </w:tcPr>
          <w:p>
            <w:pPr>
              <w:widowControl/>
              <w:adjustRightInd/>
              <w:snapToGrid/>
              <w:spacing w:line="360" w:lineRule="exact"/>
              <w:ind w:firstLine="0" w:firstLineChars="0"/>
              <w:jc w:val="center"/>
              <w:rPr>
                <w:rFonts w:hint="default" w:eastAsia="仿宋_GB2312" w:cs="Times New Roman"/>
                <w:bCs/>
                <w:color w:val="auto"/>
                <w:kern w:val="0"/>
                <w:sz w:val="28"/>
                <w:szCs w:val="28"/>
                <w:highlight w:val="none"/>
                <w:lang w:val="en-US" w:eastAsia="zh-CN" w:bidi="ar"/>
              </w:rPr>
            </w:pPr>
            <w:r>
              <w:rPr>
                <w:rFonts w:hint="eastAsia" w:cs="Times New Roman"/>
                <w:bCs/>
                <w:color w:val="auto"/>
                <w:kern w:val="0"/>
                <w:sz w:val="28"/>
                <w:szCs w:val="28"/>
                <w:highlight w:val="none"/>
                <w:lang w:eastAsia="zh-CN" w:bidi="ar"/>
              </w:rPr>
              <w:t>8</w:t>
            </w:r>
            <w:r>
              <w:rPr>
                <w:rFonts w:hint="eastAsia" w:cs="Times New Roman"/>
                <w:bCs/>
                <w:color w:val="auto"/>
                <w:kern w:val="0"/>
                <w:sz w:val="28"/>
                <w:szCs w:val="28"/>
                <w:highlight w:val="none"/>
                <w:lang w:val="en-US" w:eastAsia="zh-CN" w:bidi="ar"/>
              </w:rPr>
              <w:t>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0"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4</w:t>
            </w:r>
          </w:p>
        </w:tc>
        <w:tc>
          <w:tcPr>
            <w:tcW w:w="1347"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产业平台</w:t>
            </w:r>
          </w:p>
        </w:tc>
        <w:tc>
          <w:tcPr>
            <w:tcW w:w="119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6</w:t>
            </w:r>
          </w:p>
        </w:tc>
        <w:tc>
          <w:tcPr>
            <w:tcW w:w="185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123.0</w:t>
            </w:r>
          </w:p>
        </w:tc>
        <w:tc>
          <w:tcPr>
            <w:tcW w:w="244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97" w:type="pct"/>
            <w:gridSpan w:val="2"/>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lang w:bidi="ar"/>
              </w:rPr>
              <w:t>合计</w:t>
            </w:r>
          </w:p>
        </w:tc>
        <w:tc>
          <w:tcPr>
            <w:tcW w:w="119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rPr>
              <w:t>54</w:t>
            </w:r>
          </w:p>
        </w:tc>
        <w:tc>
          <w:tcPr>
            <w:tcW w:w="185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rPr>
              <w:t>405.5</w:t>
            </w:r>
          </w:p>
        </w:tc>
        <w:tc>
          <w:tcPr>
            <w:tcW w:w="244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rPr>
              <w:t>18</w:t>
            </w:r>
            <w:r>
              <w:rPr>
                <w:rFonts w:hint="eastAsia" w:cs="Times New Roman"/>
                <w:b/>
                <w:color w:val="auto"/>
                <w:kern w:val="0"/>
                <w:sz w:val="28"/>
                <w:szCs w:val="28"/>
                <w:highlight w:val="none"/>
                <w:lang w:val="en-US" w:eastAsia="zh-CN"/>
              </w:rPr>
              <w:t>3</w:t>
            </w:r>
            <w:r>
              <w:rPr>
                <w:rFonts w:cs="Times New Roman"/>
                <w:b/>
                <w:color w:val="auto"/>
                <w:kern w:val="0"/>
                <w:sz w:val="28"/>
                <w:szCs w:val="28"/>
                <w:highlight w:val="none"/>
              </w:rPr>
              <w:t>.9</w:t>
            </w:r>
          </w:p>
        </w:tc>
      </w:tr>
    </w:tbl>
    <w:p>
      <w:pPr>
        <w:ind w:firstLine="655"/>
        <w:rPr>
          <w:rFonts w:cs="Times New Roman"/>
          <w:color w:val="auto"/>
          <w:highlight w:val="none"/>
        </w:rPr>
      </w:pPr>
    </w:p>
    <w:p>
      <w:pPr>
        <w:widowControl/>
        <w:spacing w:line="580" w:lineRule="exact"/>
        <w:ind w:firstLine="655"/>
        <w:jc w:val="left"/>
        <w:outlineLvl w:val="1"/>
        <w:rPr>
          <w:rFonts w:eastAsia="楷体_GB2312" w:cs="Times New Roman"/>
          <w:bCs/>
          <w:color w:val="auto"/>
          <w:szCs w:val="32"/>
          <w:highlight w:val="none"/>
        </w:rPr>
      </w:pPr>
      <w:bookmarkStart w:id="109" w:name="_Toc31032"/>
      <w:bookmarkStart w:id="110" w:name="_Toc12966"/>
      <w:bookmarkStart w:id="111" w:name="_Toc28965"/>
      <w:bookmarkStart w:id="112" w:name="_Toc8619"/>
      <w:bookmarkStart w:id="113" w:name="_Toc9952"/>
      <w:bookmarkStart w:id="114" w:name="_Toc68621826"/>
      <w:bookmarkStart w:id="115" w:name="_Toc29917"/>
      <w:bookmarkStart w:id="116" w:name="_Toc28719"/>
      <w:bookmarkStart w:id="117" w:name="_Toc2823"/>
      <w:bookmarkStart w:id="118" w:name="_Toc14293"/>
      <w:bookmarkStart w:id="119" w:name="_Toc3073"/>
      <w:bookmarkStart w:id="120" w:name="_Toc9988"/>
      <w:bookmarkStart w:id="121" w:name="_Toc14321"/>
      <w:r>
        <w:rPr>
          <w:rFonts w:eastAsia="楷体_GB2312" w:cs="Times New Roman"/>
          <w:bCs/>
          <w:color w:val="auto"/>
          <w:szCs w:val="32"/>
          <w:highlight w:val="none"/>
        </w:rPr>
        <w:t>（二）交通设施领域</w:t>
      </w:r>
      <w:bookmarkEnd w:id="109"/>
      <w:bookmarkEnd w:id="110"/>
      <w:bookmarkEnd w:id="111"/>
      <w:bookmarkEnd w:id="112"/>
      <w:bookmarkEnd w:id="113"/>
      <w:bookmarkEnd w:id="114"/>
      <w:bookmarkEnd w:id="115"/>
      <w:bookmarkEnd w:id="116"/>
      <w:bookmarkEnd w:id="117"/>
      <w:bookmarkEnd w:id="118"/>
      <w:bookmarkEnd w:id="119"/>
      <w:bookmarkEnd w:id="120"/>
      <w:bookmarkEnd w:id="121"/>
    </w:p>
    <w:p>
      <w:pPr>
        <w:spacing w:line="580" w:lineRule="exact"/>
        <w:ind w:firstLine="655"/>
        <w:rPr>
          <w:rFonts w:cs="Times New Roman"/>
          <w:color w:val="auto"/>
          <w:szCs w:val="32"/>
          <w:highlight w:val="none"/>
        </w:rPr>
      </w:pPr>
      <w:r>
        <w:rPr>
          <w:rFonts w:cs="Times New Roman"/>
          <w:color w:val="auto"/>
          <w:highlight w:val="none"/>
        </w:rPr>
        <w:t>坚定实施交通先行战略，主动对接“1210交通强省”行动，以打造“美丽大花园”重要交通枢纽为目标，按照“外联内畅、水陆并进，服务旅游支柱产业”的总体要求，统筹铁路、公路、水运、场站等设施建设，打造对外立体交通网、内部绿色交通网、现代农村交通网，形成现代化综合交通网络体系，基本实现对外1小时到达周边机场、火车站，对内各乡镇20分钟到达中心城区、30分钟上高速、20分钟上国省道干线公路，城乡1小时快货物流圈。</w:t>
      </w:r>
      <w:r>
        <w:rPr>
          <w:rFonts w:cs="Times New Roman"/>
          <w:color w:val="auto"/>
          <w:szCs w:val="32"/>
          <w:highlight w:val="none"/>
        </w:rPr>
        <w:t>“十四五”期间，实施交通设施重大项目22个左右，完成投资74亿元左右。</w:t>
      </w:r>
    </w:p>
    <w:p>
      <w:pPr>
        <w:pStyle w:val="11"/>
        <w:spacing w:after="0" w:line="580" w:lineRule="exact"/>
        <w:ind w:firstLine="658"/>
        <w:rPr>
          <w:rFonts w:cs="Times New Roman"/>
          <w:b/>
          <w:bCs/>
          <w:color w:val="auto"/>
          <w:highlight w:val="none"/>
        </w:rPr>
      </w:pPr>
      <w:r>
        <w:rPr>
          <w:rFonts w:cs="Times New Roman"/>
          <w:b/>
          <w:bCs/>
          <w:color w:val="auto"/>
          <w:highlight w:val="none"/>
        </w:rPr>
        <w:t>1.铁路</w:t>
      </w:r>
    </w:p>
    <w:p>
      <w:pPr>
        <w:spacing w:line="580" w:lineRule="exact"/>
        <w:ind w:firstLine="655"/>
        <w:rPr>
          <w:rFonts w:cs="Times New Roman"/>
          <w:b/>
          <w:color w:val="auto"/>
          <w:highlight w:val="none"/>
        </w:rPr>
      </w:pPr>
      <w:r>
        <w:rPr>
          <w:rFonts w:cs="Times New Roman"/>
          <w:color w:val="auto"/>
          <w:highlight w:val="none"/>
        </w:rPr>
        <w:t>以落实交通强国、长三角一体化、四大建设、“一带三区”等战略部署为重点，加快推进铁路建设，促进云和快速迈入铁路时代。力争开工建设温武吉铁路云和段，争取将丽水至云和铁路、南平至丽水铁路纳入上级铁路规划。加快推进缙云-丽水-云和-龙泉-庆元轨道项目取得实质性进展。“十四五”期间，力争实施铁路建设重大项目2个，完成投资28亿元左右。</w:t>
      </w:r>
    </w:p>
    <w:p>
      <w:pPr>
        <w:pStyle w:val="11"/>
        <w:spacing w:after="0" w:line="580" w:lineRule="exact"/>
        <w:ind w:firstLine="658"/>
        <w:rPr>
          <w:rFonts w:cs="Times New Roman"/>
          <w:b/>
          <w:bCs/>
          <w:color w:val="auto"/>
          <w:highlight w:val="none"/>
        </w:rPr>
      </w:pPr>
      <w:bookmarkStart w:id="122" w:name="_Toc13172"/>
      <w:r>
        <w:rPr>
          <w:rFonts w:cs="Times New Roman"/>
          <w:b/>
          <w:bCs/>
          <w:color w:val="auto"/>
          <w:highlight w:val="none"/>
        </w:rPr>
        <w:t>2.公路</w:t>
      </w:r>
      <w:bookmarkEnd w:id="122"/>
    </w:p>
    <w:p>
      <w:pPr>
        <w:spacing w:line="580" w:lineRule="exact"/>
        <w:ind w:firstLine="658"/>
        <w:rPr>
          <w:rFonts w:cs="Times New Roman"/>
          <w:b/>
          <w:bCs/>
          <w:color w:val="auto"/>
          <w:szCs w:val="32"/>
          <w:highlight w:val="none"/>
        </w:rPr>
      </w:pPr>
      <w:r>
        <w:rPr>
          <w:rFonts w:cs="Times New Roman"/>
          <w:b/>
          <w:bCs/>
          <w:color w:val="auto"/>
          <w:szCs w:val="32"/>
          <w:highlight w:val="none"/>
        </w:rPr>
        <w:t>高速公路。</w:t>
      </w:r>
      <w:r>
        <w:rPr>
          <w:rFonts w:cs="Times New Roman"/>
          <w:color w:val="auto"/>
          <w:highlight w:val="none"/>
        </w:rPr>
        <w:t>以全面对接周边重要交通枢纽、服务全域旅游为重点，加密高速公路网，增加云和高速公路覆盖面。重点加快实施长深高速赤石互通改建工程，积极谋划义龙高速至长深高速云和联络线。</w:t>
      </w:r>
    </w:p>
    <w:p>
      <w:pPr>
        <w:spacing w:line="580" w:lineRule="exact"/>
        <w:ind w:firstLine="658"/>
        <w:rPr>
          <w:rFonts w:cs="Times New Roman"/>
          <w:color w:val="auto"/>
          <w:highlight w:val="none"/>
        </w:rPr>
      </w:pPr>
      <w:r>
        <w:rPr>
          <w:rFonts w:cs="Times New Roman"/>
          <w:b/>
          <w:bCs/>
          <w:color w:val="auto"/>
          <w:szCs w:val="32"/>
          <w:highlight w:val="none"/>
        </w:rPr>
        <w:t>国省道干线。</w:t>
      </w:r>
      <w:r>
        <w:rPr>
          <w:rFonts w:cs="Times New Roman"/>
          <w:color w:val="auto"/>
          <w:highlight w:val="none"/>
        </w:rPr>
        <w:t>以扩容改造、消除低等级路、提质升级为重点，推进普通国省道干线公路全面升级。重点实施235国道云和段改建工程、322国道云和后山至麻垟段改建工程、规划仙居至景宁省道（原328省道）云和局村至大徐段、规划仙居至景宁省道（原328省道）云和朱村口至规溪亭段等项目，积极谋划仙居至景宁省道云和黄源至景宁交界段（云和梯田至景宁大均公路）等项目。</w:t>
      </w:r>
    </w:p>
    <w:p>
      <w:pPr>
        <w:spacing w:line="580" w:lineRule="exact"/>
        <w:ind w:firstLine="658"/>
        <w:rPr>
          <w:rFonts w:cs="Times New Roman"/>
          <w:color w:val="auto"/>
          <w:highlight w:val="none"/>
        </w:rPr>
      </w:pPr>
      <w:r>
        <w:rPr>
          <w:rFonts w:cs="Times New Roman"/>
          <w:b/>
          <w:bCs/>
          <w:color w:val="auto"/>
          <w:highlight w:val="none"/>
        </w:rPr>
        <w:t>农村公路。</w:t>
      </w:r>
      <w:r>
        <w:rPr>
          <w:rFonts w:cs="Times New Roman"/>
          <w:color w:val="auto"/>
          <w:highlight w:val="none"/>
        </w:rPr>
        <w:t>以提升中心城区辐射能力，保障各乡镇20分钟内到达中心城区，实施云龙公路（新殿垟至龙门段）改建工程、黄安线提升改造工程。以推进各乡镇20分钟上国省道干线公路目标的实现，实施局龙线改建工程、雾溪通乡公路瓶颈路畅通工程。以改善农村公路网络品质，服务乡村振兴、共同富裕为重点，高水平建设“四好农村路”，实施农村公路养护工程、农村公路安全生命防护工程、农村公路提升改造工程、农村联网公路工程等项目。</w:t>
      </w:r>
    </w:p>
    <w:p>
      <w:pPr>
        <w:spacing w:line="580" w:lineRule="exact"/>
        <w:ind w:firstLine="655"/>
        <w:rPr>
          <w:rFonts w:cs="Times New Roman"/>
          <w:color w:val="auto"/>
          <w:highlight w:val="none"/>
        </w:rPr>
      </w:pPr>
      <w:r>
        <w:rPr>
          <w:rFonts w:cs="Times New Roman"/>
          <w:color w:val="auto"/>
          <w:highlight w:val="none"/>
        </w:rPr>
        <w:t>“十四五”期间，力争实施公路建设重大项目16个左右，完成投资45亿元左右。</w:t>
      </w:r>
    </w:p>
    <w:p>
      <w:pPr>
        <w:pStyle w:val="11"/>
        <w:spacing w:after="0" w:line="580" w:lineRule="exact"/>
        <w:ind w:firstLine="658"/>
        <w:rPr>
          <w:rFonts w:cs="Times New Roman"/>
          <w:b/>
          <w:bCs/>
          <w:color w:val="auto"/>
          <w:highlight w:val="none"/>
        </w:rPr>
      </w:pPr>
      <w:bookmarkStart w:id="123" w:name="_Toc6331"/>
      <w:r>
        <w:rPr>
          <w:rFonts w:cs="Times New Roman"/>
          <w:b/>
          <w:bCs/>
          <w:color w:val="auto"/>
          <w:highlight w:val="none"/>
        </w:rPr>
        <w:t>3.机场</w:t>
      </w:r>
      <w:bookmarkEnd w:id="123"/>
    </w:p>
    <w:p>
      <w:pPr>
        <w:spacing w:line="580" w:lineRule="exact"/>
        <w:ind w:firstLine="655"/>
        <w:rPr>
          <w:rFonts w:cs="Times New Roman"/>
          <w:color w:val="auto"/>
          <w:highlight w:val="none"/>
        </w:rPr>
      </w:pPr>
      <w:r>
        <w:rPr>
          <w:rFonts w:cs="Times New Roman"/>
          <w:color w:val="auto"/>
          <w:highlight w:val="none"/>
        </w:rPr>
        <w:t>以水上航空为特色，加快云和湖水陆两用机场前期研究，争取取得实质性进展，为云和全域5A时代发展“通用航空+旅游”提供支撑。积极推进应急救援直升机起降点项目研究。</w:t>
      </w:r>
    </w:p>
    <w:p>
      <w:pPr>
        <w:pStyle w:val="11"/>
        <w:spacing w:after="0" w:line="580" w:lineRule="exact"/>
        <w:ind w:firstLine="658"/>
        <w:rPr>
          <w:rFonts w:cs="Times New Roman"/>
          <w:b/>
          <w:bCs/>
          <w:color w:val="auto"/>
          <w:highlight w:val="none"/>
        </w:rPr>
      </w:pPr>
      <w:bookmarkStart w:id="124" w:name="_Toc12304"/>
      <w:r>
        <w:rPr>
          <w:rFonts w:cs="Times New Roman"/>
          <w:b/>
          <w:bCs/>
          <w:color w:val="auto"/>
          <w:highlight w:val="none"/>
        </w:rPr>
        <w:t>4.水运</w:t>
      </w:r>
      <w:bookmarkEnd w:id="124"/>
    </w:p>
    <w:p>
      <w:pPr>
        <w:spacing w:line="580" w:lineRule="exact"/>
        <w:ind w:firstLine="655"/>
        <w:rPr>
          <w:rFonts w:cs="Times New Roman"/>
          <w:color w:val="auto"/>
          <w:highlight w:val="none"/>
        </w:rPr>
      </w:pPr>
      <w:r>
        <w:rPr>
          <w:rFonts w:cs="Times New Roman"/>
          <w:color w:val="auto"/>
          <w:highlight w:val="none"/>
        </w:rPr>
        <w:t>以改造提升码头与水上服务站为重点，全面拓展云和水上旅游开发项目，丰富水上旅游产品，将云和湖美丽航道建设成为美丽经济交通水上走廊。重点实施紧水滩库区水上服务站、石塘交通中心码头等项目，加快推进云和湖码头、云和湖旅游码头等前期，提升优化云和湖水上旅游观光巴士线路。“十四五”期间，力争实施水运建设重大项目3个左右，完成投资0.5亿元左右。</w:t>
      </w:r>
    </w:p>
    <w:p>
      <w:pPr>
        <w:pStyle w:val="11"/>
        <w:spacing w:after="0" w:line="580" w:lineRule="exact"/>
        <w:ind w:firstLine="658"/>
        <w:rPr>
          <w:rFonts w:cs="Times New Roman"/>
          <w:b/>
          <w:bCs/>
          <w:color w:val="auto"/>
          <w:highlight w:val="none"/>
        </w:rPr>
      </w:pPr>
      <w:bookmarkStart w:id="125" w:name="_Toc11462"/>
      <w:r>
        <w:rPr>
          <w:rFonts w:cs="Times New Roman"/>
          <w:b/>
          <w:bCs/>
          <w:color w:val="auto"/>
          <w:highlight w:val="none"/>
        </w:rPr>
        <w:t>5.场站枢纽</w:t>
      </w:r>
      <w:bookmarkEnd w:id="125"/>
    </w:p>
    <w:p>
      <w:pPr>
        <w:spacing w:line="580" w:lineRule="exact"/>
        <w:ind w:firstLine="655"/>
        <w:rPr>
          <w:rFonts w:cs="Times New Roman"/>
          <w:color w:val="auto"/>
          <w:highlight w:val="none"/>
        </w:rPr>
      </w:pPr>
      <w:r>
        <w:rPr>
          <w:rFonts w:cs="Times New Roman"/>
          <w:color w:val="auto"/>
          <w:highlight w:val="none"/>
        </w:rPr>
        <w:t>围绕客运“零换乘”目标，以中心枢纽建设、枢纽综合开发为重点，构建“层次分明、运转协调、功能完善”的综合客运体系。重点建设公交车总站和首末站3个。“十四五”期间，力争实施场站枢纽重大项目1个，完成投资0.2亿元左右。</w:t>
      </w:r>
    </w:p>
    <w:p>
      <w:pPr>
        <w:ind w:firstLine="655" w:firstLineChars="0"/>
        <w:jc w:val="left"/>
        <w:rPr>
          <w:rFonts w:eastAsia="黑体" w:cs="Times New Roman"/>
          <w:color w:val="auto"/>
          <w:sz w:val="28"/>
          <w:szCs w:val="28"/>
          <w:highlight w:val="none"/>
        </w:rPr>
      </w:pPr>
      <w:r>
        <w:rPr>
          <w:rFonts w:eastAsia="黑体" w:cs="Times New Roman"/>
          <w:color w:val="auto"/>
          <w:sz w:val="28"/>
          <w:szCs w:val="28"/>
          <w:highlight w:val="none"/>
        </w:rPr>
        <w:t>表3  “十四五”期间交通基础设施领域实施类项目汇总表</w:t>
      </w:r>
    </w:p>
    <w:tbl>
      <w:tblPr>
        <w:tblStyle w:val="23"/>
        <w:tblW w:w="4995"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82"/>
        <w:gridCol w:w="2146"/>
        <w:gridCol w:w="1438"/>
        <w:gridCol w:w="1995"/>
        <w:gridCol w:w="21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50"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序号</w:t>
            </w:r>
          </w:p>
        </w:tc>
        <w:tc>
          <w:tcPr>
            <w:tcW w:w="1287"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项目分类</w:t>
            </w:r>
          </w:p>
        </w:tc>
        <w:tc>
          <w:tcPr>
            <w:tcW w:w="864"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项目数</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（个）</w:t>
            </w:r>
          </w:p>
        </w:tc>
        <w:tc>
          <w:tcPr>
            <w:tcW w:w="1199"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总投资额</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（亿元）</w:t>
            </w:r>
          </w:p>
        </w:tc>
        <w:tc>
          <w:tcPr>
            <w:tcW w:w="1297"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计划完成投资额（亿元）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50"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1287"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864"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1199"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c>
          <w:tcPr>
            <w:tcW w:w="1297"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0"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w:t>
            </w:r>
          </w:p>
        </w:tc>
        <w:tc>
          <w:tcPr>
            <w:tcW w:w="1287" w:type="pct"/>
            <w:noWrap/>
            <w:tcMar>
              <w:top w:w="15" w:type="dxa"/>
              <w:left w:w="15" w:type="dxa"/>
              <w:right w:w="15" w:type="dxa"/>
            </w:tcMar>
            <w:vAlign w:val="center"/>
          </w:tcPr>
          <w:p>
            <w:pPr>
              <w:pStyle w:val="11"/>
              <w:spacing w:after="0" w:line="360" w:lineRule="exact"/>
              <w:ind w:firstLine="0" w:firstLineChars="0"/>
              <w:jc w:val="center"/>
              <w:rPr>
                <w:rFonts w:cs="Times New Roman"/>
                <w:color w:val="auto"/>
                <w:kern w:val="0"/>
                <w:sz w:val="28"/>
                <w:szCs w:val="28"/>
                <w:highlight w:val="none"/>
                <w:lang w:bidi="ar"/>
              </w:rPr>
            </w:pPr>
            <w:r>
              <w:rPr>
                <w:rFonts w:cs="Times New Roman"/>
                <w:color w:val="auto"/>
                <w:highlight w:val="none"/>
              </w:rPr>
              <w:t>铁路</w:t>
            </w:r>
          </w:p>
        </w:tc>
        <w:tc>
          <w:tcPr>
            <w:tcW w:w="1438"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2</w:t>
            </w:r>
          </w:p>
        </w:tc>
        <w:tc>
          <w:tcPr>
            <w:tcW w:w="199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107.3</w:t>
            </w:r>
          </w:p>
        </w:tc>
        <w:tc>
          <w:tcPr>
            <w:tcW w:w="2161"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28.0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0"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w:t>
            </w:r>
          </w:p>
        </w:tc>
        <w:tc>
          <w:tcPr>
            <w:tcW w:w="1287"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color w:val="auto"/>
                <w:kern w:val="0"/>
                <w:sz w:val="28"/>
                <w:szCs w:val="28"/>
                <w:highlight w:val="none"/>
                <w:lang w:bidi="ar"/>
              </w:rPr>
            </w:pPr>
            <w:r>
              <w:rPr>
                <w:rFonts w:cs="Times New Roman"/>
                <w:color w:val="auto"/>
                <w:szCs w:val="32"/>
                <w:highlight w:val="none"/>
              </w:rPr>
              <w:t>公路</w:t>
            </w:r>
          </w:p>
        </w:tc>
        <w:tc>
          <w:tcPr>
            <w:tcW w:w="1438"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16</w:t>
            </w:r>
          </w:p>
        </w:tc>
        <w:tc>
          <w:tcPr>
            <w:tcW w:w="199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65.1</w:t>
            </w:r>
          </w:p>
        </w:tc>
        <w:tc>
          <w:tcPr>
            <w:tcW w:w="2161"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45.4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0"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3</w:t>
            </w:r>
          </w:p>
        </w:tc>
        <w:tc>
          <w:tcPr>
            <w:tcW w:w="1287"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color w:val="auto"/>
                <w:kern w:val="0"/>
                <w:sz w:val="28"/>
                <w:szCs w:val="28"/>
                <w:highlight w:val="none"/>
                <w:lang w:bidi="ar"/>
              </w:rPr>
            </w:pPr>
            <w:r>
              <w:rPr>
                <w:rFonts w:cs="Times New Roman"/>
                <w:color w:val="auto"/>
                <w:szCs w:val="32"/>
                <w:highlight w:val="none"/>
              </w:rPr>
              <w:t>水运</w:t>
            </w:r>
          </w:p>
        </w:tc>
        <w:tc>
          <w:tcPr>
            <w:tcW w:w="1438"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3</w:t>
            </w:r>
          </w:p>
        </w:tc>
        <w:tc>
          <w:tcPr>
            <w:tcW w:w="199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1.1</w:t>
            </w:r>
          </w:p>
        </w:tc>
        <w:tc>
          <w:tcPr>
            <w:tcW w:w="2161"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350"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4</w:t>
            </w:r>
          </w:p>
        </w:tc>
        <w:tc>
          <w:tcPr>
            <w:tcW w:w="1287"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color w:val="auto"/>
                <w:kern w:val="0"/>
                <w:sz w:val="28"/>
                <w:szCs w:val="28"/>
                <w:highlight w:val="none"/>
                <w:lang w:bidi="ar"/>
              </w:rPr>
            </w:pPr>
            <w:r>
              <w:rPr>
                <w:rFonts w:cs="Times New Roman"/>
                <w:color w:val="auto"/>
                <w:szCs w:val="32"/>
                <w:highlight w:val="none"/>
              </w:rPr>
              <w:t>场站枢纽</w:t>
            </w:r>
          </w:p>
        </w:tc>
        <w:tc>
          <w:tcPr>
            <w:tcW w:w="1438"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1</w:t>
            </w:r>
          </w:p>
        </w:tc>
        <w:tc>
          <w:tcPr>
            <w:tcW w:w="199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0.3</w:t>
            </w:r>
          </w:p>
        </w:tc>
        <w:tc>
          <w:tcPr>
            <w:tcW w:w="2161"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38" w:type="pct"/>
            <w:gridSpan w:val="2"/>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lang w:bidi="ar"/>
              </w:rPr>
              <w:t>合计</w:t>
            </w:r>
          </w:p>
        </w:tc>
        <w:tc>
          <w:tcPr>
            <w:tcW w:w="1438"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22</w:t>
            </w:r>
          </w:p>
        </w:tc>
        <w:tc>
          <w:tcPr>
            <w:tcW w:w="1995"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rPr>
              <w:t>173.8</w:t>
            </w:r>
          </w:p>
        </w:tc>
        <w:tc>
          <w:tcPr>
            <w:tcW w:w="2161"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rPr>
              <w:t>74.1</w:t>
            </w:r>
          </w:p>
        </w:tc>
      </w:tr>
    </w:tbl>
    <w:p>
      <w:pPr>
        <w:pStyle w:val="2"/>
        <w:ind w:left="655" w:firstLine="655"/>
        <w:rPr>
          <w:color w:val="auto"/>
          <w:highlight w:val="none"/>
        </w:rPr>
      </w:pPr>
    </w:p>
    <w:p>
      <w:pPr>
        <w:widowControl/>
        <w:spacing w:line="580" w:lineRule="exact"/>
        <w:ind w:firstLine="655"/>
        <w:jc w:val="left"/>
        <w:outlineLvl w:val="1"/>
        <w:rPr>
          <w:rFonts w:eastAsia="楷体_GB2312" w:cs="Times New Roman"/>
          <w:bCs/>
          <w:color w:val="auto"/>
          <w:szCs w:val="32"/>
          <w:highlight w:val="none"/>
        </w:rPr>
      </w:pPr>
      <w:bookmarkStart w:id="126" w:name="_Toc4516"/>
      <w:bookmarkStart w:id="127" w:name="_Toc29304"/>
      <w:bookmarkStart w:id="128" w:name="_Toc6928"/>
      <w:bookmarkStart w:id="129" w:name="_Toc19351"/>
      <w:bookmarkStart w:id="130" w:name="_Toc68621828"/>
      <w:bookmarkStart w:id="131" w:name="_Toc31523"/>
      <w:bookmarkStart w:id="132" w:name="_Toc28609"/>
      <w:bookmarkStart w:id="133" w:name="_Toc25739"/>
      <w:bookmarkStart w:id="134" w:name="_Toc30216"/>
      <w:bookmarkStart w:id="135" w:name="_Toc2850"/>
      <w:bookmarkStart w:id="136" w:name="_Toc20174"/>
      <w:bookmarkStart w:id="137" w:name="_Toc21850"/>
      <w:bookmarkStart w:id="138" w:name="_Toc2288"/>
      <w:bookmarkStart w:id="139" w:name="_Toc30607"/>
      <w:bookmarkStart w:id="140" w:name="_Toc15629"/>
      <w:bookmarkStart w:id="141" w:name="_Toc10464"/>
      <w:bookmarkStart w:id="142" w:name="_Toc32166"/>
      <w:bookmarkStart w:id="143" w:name="_Toc10536"/>
      <w:bookmarkStart w:id="144" w:name="_Toc16264"/>
      <w:bookmarkStart w:id="145" w:name="_Toc68621827"/>
      <w:bookmarkStart w:id="146" w:name="_Toc19452"/>
      <w:r>
        <w:rPr>
          <w:rFonts w:eastAsia="楷体_GB2312" w:cs="Times New Roman"/>
          <w:bCs/>
          <w:color w:val="auto"/>
          <w:szCs w:val="32"/>
          <w:highlight w:val="none"/>
        </w:rPr>
        <w:t>（三）城乡统筹领域</w:t>
      </w:r>
      <w:bookmarkEnd w:id="126"/>
      <w:bookmarkEnd w:id="127"/>
      <w:bookmarkEnd w:id="128"/>
      <w:bookmarkEnd w:id="129"/>
      <w:bookmarkEnd w:id="130"/>
      <w:bookmarkEnd w:id="131"/>
      <w:bookmarkEnd w:id="132"/>
      <w:bookmarkEnd w:id="133"/>
      <w:bookmarkEnd w:id="134"/>
      <w:bookmarkEnd w:id="135"/>
      <w:bookmarkEnd w:id="136"/>
      <w:bookmarkEnd w:id="137"/>
      <w:bookmarkEnd w:id="138"/>
    </w:p>
    <w:p>
      <w:pPr>
        <w:spacing w:line="580" w:lineRule="exact"/>
        <w:ind w:firstLine="655"/>
        <w:rPr>
          <w:rFonts w:cs="Times New Roman"/>
          <w:color w:val="auto"/>
          <w:highlight w:val="none"/>
        </w:rPr>
      </w:pPr>
      <w:r>
        <w:rPr>
          <w:rFonts w:cs="Times New Roman"/>
          <w:color w:val="auto"/>
          <w:highlight w:val="none"/>
        </w:rPr>
        <w:t>围绕打造全国山区新型城镇化样板，深化“小县大城”发展战略，以提高中心城区能级为重点，加快建设宜居、韧性、智能、创新、活力的现代化美丽县城，充分展现新时代美丽乡村魅力，提升城乡居民创造美好生活的能力。“十四五”期间，实施城乡统筹领域重大项目19个左右，完成投资94亿元左右。</w:t>
      </w:r>
    </w:p>
    <w:p>
      <w:pPr>
        <w:spacing w:line="580" w:lineRule="exact"/>
        <w:ind w:firstLine="658"/>
        <w:rPr>
          <w:rFonts w:cs="Times New Roman"/>
          <w:b/>
          <w:bCs/>
          <w:color w:val="auto"/>
          <w:highlight w:val="none"/>
        </w:rPr>
      </w:pPr>
      <w:r>
        <w:rPr>
          <w:rFonts w:cs="Times New Roman"/>
          <w:b/>
          <w:bCs/>
          <w:color w:val="auto"/>
          <w:highlight w:val="none"/>
        </w:rPr>
        <w:t>1.市政基础设施</w:t>
      </w:r>
    </w:p>
    <w:p>
      <w:pPr>
        <w:spacing w:line="580" w:lineRule="exact"/>
        <w:ind w:firstLine="655"/>
        <w:rPr>
          <w:rFonts w:cs="Times New Roman"/>
          <w:b/>
          <w:color w:val="auto"/>
          <w:highlight w:val="none"/>
        </w:rPr>
      </w:pPr>
      <w:r>
        <w:rPr>
          <w:rFonts w:cs="Times New Roman"/>
          <w:color w:val="auto"/>
          <w:highlight w:val="none"/>
        </w:rPr>
        <w:t>实施城市道路提升工程，推进零星“断头路”连通，有效串联城北老城区、城南新区、城西工业园区，形成纵横丰富的路网体系。实施城市空间利用和改造工程，重点推进实验小学、三中等地下空间公共停车场建设，构建以配建停车为主、路边停车为补充的停车供给体系，有效缓解老城区停车难、停车乱的问题。实施城市安全行动，推进城市危桥改造。开展</w:t>
      </w:r>
      <w:r>
        <w:rPr>
          <w:rFonts w:cs="Times New Roman"/>
          <w:color w:val="auto"/>
          <w:szCs w:val="32"/>
          <w:highlight w:val="none"/>
        </w:rPr>
        <w:t>城市街景风貌改造，重点实施“采真里”4A级景区创建、国家园林城市创建项目，提高环境质量。</w:t>
      </w:r>
      <w:r>
        <w:rPr>
          <w:rFonts w:cs="Times New Roman"/>
          <w:color w:val="auto"/>
          <w:highlight w:val="none"/>
        </w:rPr>
        <w:t>完善城区供水设施，重点实施城市供水管网改造及延伸工程、雾溪制水厂改造提升工程。“十四五”期间，力争实施市政基础设施重大项目8个左右，完成投资12亿元左右。</w:t>
      </w:r>
    </w:p>
    <w:p>
      <w:pPr>
        <w:spacing w:line="580" w:lineRule="exact"/>
        <w:ind w:firstLine="658"/>
        <w:rPr>
          <w:rFonts w:cs="Times New Roman"/>
          <w:b/>
          <w:bCs/>
          <w:color w:val="auto"/>
          <w:highlight w:val="none"/>
        </w:rPr>
      </w:pPr>
      <w:r>
        <w:rPr>
          <w:rFonts w:cs="Times New Roman"/>
          <w:b/>
          <w:bCs/>
          <w:color w:val="auto"/>
          <w:highlight w:val="none"/>
        </w:rPr>
        <w:t>2.城市有机更新</w:t>
      </w:r>
    </w:p>
    <w:p>
      <w:pPr>
        <w:widowControl/>
        <w:spacing w:line="580" w:lineRule="exact"/>
        <w:ind w:firstLine="655"/>
        <w:jc w:val="left"/>
        <w:rPr>
          <w:rFonts w:cs="Times New Roman"/>
          <w:bCs/>
          <w:color w:val="auto"/>
          <w:szCs w:val="32"/>
          <w:highlight w:val="none"/>
        </w:rPr>
      </w:pPr>
      <w:r>
        <w:rPr>
          <w:rFonts w:cs="Times New Roman"/>
          <w:bCs/>
          <w:color w:val="auto"/>
          <w:szCs w:val="32"/>
          <w:highlight w:val="none"/>
        </w:rPr>
        <w:t>按照“三化九场景”的总体要求，推进未来社区迭代升级，重点推进小徐未来社区建设项目。加快拆迁安置房、移民安置房、农村新社区等建设，重点实施南铂湾新型城镇示范安置小区等项目，谋划推进木制玩具城更新项目。加快城市有机更新，重点实施农技站、大庆寺、下前溪、南门东、白水区块等棚户区改造项目。加快老旧小区综合改造，有序推进鲤鱼山小区B区、浮云小区等2005年底前建成的城镇老旧小区改造。“</w:t>
      </w:r>
      <w:r>
        <w:rPr>
          <w:rFonts w:cs="Times New Roman"/>
          <w:bCs/>
          <w:color w:val="auto"/>
          <w:szCs w:val="32"/>
          <w:highlight w:val="none"/>
        </w:rPr>
        <w:t>十四五”期间，力争实施城市有机更新重大项目5个左右，完成投资75亿元左右。</w:t>
      </w:r>
    </w:p>
    <w:p>
      <w:pPr>
        <w:spacing w:line="580" w:lineRule="exact"/>
        <w:ind w:firstLine="658"/>
        <w:rPr>
          <w:rFonts w:cs="Times New Roman"/>
          <w:b/>
          <w:bCs/>
          <w:color w:val="auto"/>
          <w:highlight w:val="none"/>
        </w:rPr>
      </w:pPr>
      <w:r>
        <w:rPr>
          <w:rFonts w:cs="Times New Roman"/>
          <w:b/>
          <w:bCs/>
          <w:color w:val="auto"/>
          <w:highlight w:val="none"/>
        </w:rPr>
        <w:t>3.美丽乡村建设</w:t>
      </w:r>
    </w:p>
    <w:p>
      <w:pPr>
        <w:spacing w:line="580" w:lineRule="exact"/>
        <w:ind w:firstLine="655"/>
        <w:rPr>
          <w:rFonts w:cs="Times New Roman"/>
          <w:bCs/>
          <w:color w:val="auto"/>
          <w:szCs w:val="32"/>
          <w:highlight w:val="none"/>
        </w:rPr>
      </w:pPr>
      <w:r>
        <w:rPr>
          <w:rFonts w:cs="Times New Roman"/>
          <w:color w:val="auto"/>
          <w:szCs w:val="32"/>
          <w:highlight w:val="none"/>
        </w:rPr>
        <w:t>建设新时代美丽城镇，确保浮云街道、石塘镇、紧水滩镇、安溪乡等7个城镇创成美丽城镇，崇头镇、石塘镇、安溪乡达到省级样板创建要求。秉持乡村为农民而建的发展理念，高标准建设花园乡村，全域实施花园乡村建设行动，力争建成新时代美丽乡村达标村71个、美丽乡村精品村47个、花园乡村精品村47个。围绕乡村环境生态化、生产生活现代化要求，分类打造10个“三沿”未来乡村，形成滨湖组团、云坛溪组团、梯田组团未来乡村示范区。</w:t>
      </w:r>
      <w:r>
        <w:rPr>
          <w:rFonts w:cs="Times New Roman"/>
          <w:color w:val="auto"/>
          <w:highlight w:val="none"/>
        </w:rPr>
        <w:t>加强历史文化村落保护利用，完成金山下村、村头村、沈村村3个省级历史文化重点村。</w:t>
      </w:r>
      <w:r>
        <w:rPr>
          <w:rFonts w:cs="Times New Roman"/>
          <w:bCs/>
          <w:color w:val="auto"/>
          <w:szCs w:val="32"/>
          <w:highlight w:val="none"/>
        </w:rPr>
        <w:t>“十四五”期间，力争实施美丽乡村建设重大项目6个左右，完成投资7亿元左右。</w:t>
      </w:r>
    </w:p>
    <w:p>
      <w:pPr>
        <w:ind w:firstLine="0" w:firstLineChars="0"/>
        <w:jc w:val="center"/>
        <w:rPr>
          <w:rFonts w:eastAsia="黑体" w:cs="Times New Roman"/>
          <w:color w:val="auto"/>
          <w:sz w:val="28"/>
          <w:szCs w:val="28"/>
          <w:highlight w:val="none"/>
        </w:rPr>
      </w:pPr>
      <w:r>
        <w:rPr>
          <w:rFonts w:eastAsia="黑体" w:cs="Times New Roman"/>
          <w:color w:val="auto"/>
          <w:sz w:val="28"/>
          <w:szCs w:val="28"/>
          <w:highlight w:val="none"/>
        </w:rPr>
        <w:t>表4  “十四五”期间城乡融合领域实施项目汇总表</w:t>
      </w:r>
    </w:p>
    <w:tbl>
      <w:tblPr>
        <w:tblStyle w:val="23"/>
        <w:tblW w:w="4995"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83"/>
        <w:gridCol w:w="1873"/>
        <w:gridCol w:w="1581"/>
        <w:gridCol w:w="1874"/>
        <w:gridCol w:w="24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tblHeader/>
          <w:jc w:val="center"/>
        </w:trPr>
        <w:tc>
          <w:tcPr>
            <w:tcW w:w="351"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序号</w:t>
            </w:r>
          </w:p>
        </w:tc>
        <w:tc>
          <w:tcPr>
            <w:tcW w:w="1123"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项目分类</w:t>
            </w:r>
          </w:p>
        </w:tc>
        <w:tc>
          <w:tcPr>
            <w:tcW w:w="949"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项目数</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（个）</w:t>
            </w:r>
          </w:p>
        </w:tc>
        <w:tc>
          <w:tcPr>
            <w:tcW w:w="1125"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总投资额</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（亿元）</w:t>
            </w:r>
          </w:p>
        </w:tc>
        <w:tc>
          <w:tcPr>
            <w:tcW w:w="1448"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计划完成投资额</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tblHeader/>
          <w:jc w:val="center"/>
        </w:trPr>
        <w:tc>
          <w:tcPr>
            <w:tcW w:w="351"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1123"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949"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1125"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c>
          <w:tcPr>
            <w:tcW w:w="1448"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w:t>
            </w:r>
          </w:p>
        </w:tc>
        <w:tc>
          <w:tcPr>
            <w:tcW w:w="1123"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bCs/>
                <w:color w:val="auto"/>
                <w:kern w:val="0"/>
                <w:sz w:val="28"/>
                <w:szCs w:val="28"/>
                <w:highlight w:val="none"/>
                <w:lang w:bidi="ar"/>
              </w:rPr>
            </w:pPr>
            <w:r>
              <w:rPr>
                <w:rFonts w:cs="Times New Roman"/>
                <w:color w:val="auto"/>
                <w:kern w:val="0"/>
                <w:sz w:val="28"/>
                <w:szCs w:val="28"/>
                <w:highlight w:val="none"/>
                <w:lang w:bidi="ar"/>
              </w:rPr>
              <w:t>市政基础设施</w:t>
            </w:r>
          </w:p>
        </w:tc>
        <w:tc>
          <w:tcPr>
            <w:tcW w:w="1581"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8</w:t>
            </w:r>
          </w:p>
        </w:tc>
        <w:tc>
          <w:tcPr>
            <w:tcW w:w="1874"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color w:val="auto"/>
                <w:kern w:val="0"/>
                <w:sz w:val="28"/>
                <w:szCs w:val="28"/>
                <w:highlight w:val="none"/>
                <w:lang w:bidi="ar"/>
              </w:rPr>
            </w:pPr>
            <w:r>
              <w:rPr>
                <w:rFonts w:cs="Times New Roman"/>
                <w:bCs/>
                <w:color w:val="auto"/>
                <w:kern w:val="0"/>
                <w:sz w:val="28"/>
                <w:szCs w:val="28"/>
                <w:highlight w:val="none"/>
                <w:lang w:bidi="ar"/>
              </w:rPr>
              <w:t>14.4</w:t>
            </w:r>
          </w:p>
        </w:tc>
        <w:tc>
          <w:tcPr>
            <w:tcW w:w="2412"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w:t>
            </w:r>
          </w:p>
        </w:tc>
        <w:tc>
          <w:tcPr>
            <w:tcW w:w="1123"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bCs/>
                <w:color w:val="auto"/>
                <w:kern w:val="0"/>
                <w:sz w:val="28"/>
                <w:szCs w:val="28"/>
                <w:highlight w:val="none"/>
                <w:lang w:bidi="ar"/>
              </w:rPr>
            </w:pPr>
            <w:r>
              <w:rPr>
                <w:rFonts w:cs="Times New Roman"/>
                <w:color w:val="auto"/>
                <w:kern w:val="0"/>
                <w:sz w:val="28"/>
                <w:szCs w:val="28"/>
                <w:highlight w:val="none"/>
                <w:lang w:bidi="ar"/>
              </w:rPr>
              <w:t>城市有机更新</w:t>
            </w:r>
          </w:p>
        </w:tc>
        <w:tc>
          <w:tcPr>
            <w:tcW w:w="1581"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5</w:t>
            </w:r>
          </w:p>
        </w:tc>
        <w:tc>
          <w:tcPr>
            <w:tcW w:w="1874"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color w:val="auto"/>
                <w:kern w:val="0"/>
                <w:sz w:val="28"/>
                <w:szCs w:val="28"/>
                <w:highlight w:val="none"/>
                <w:lang w:bidi="ar"/>
              </w:rPr>
            </w:pPr>
            <w:r>
              <w:rPr>
                <w:rFonts w:cs="Times New Roman"/>
                <w:bCs/>
                <w:color w:val="auto"/>
                <w:kern w:val="0"/>
                <w:sz w:val="28"/>
                <w:szCs w:val="28"/>
                <w:highlight w:val="none"/>
                <w:lang w:bidi="ar"/>
              </w:rPr>
              <w:t>101.0</w:t>
            </w:r>
          </w:p>
        </w:tc>
        <w:tc>
          <w:tcPr>
            <w:tcW w:w="2412"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75.0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3</w:t>
            </w:r>
          </w:p>
        </w:tc>
        <w:tc>
          <w:tcPr>
            <w:tcW w:w="1123"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bCs/>
                <w:color w:val="auto"/>
                <w:kern w:val="0"/>
                <w:sz w:val="28"/>
                <w:szCs w:val="28"/>
                <w:highlight w:val="none"/>
                <w:lang w:bidi="ar"/>
              </w:rPr>
            </w:pPr>
            <w:r>
              <w:rPr>
                <w:rFonts w:cs="Times New Roman"/>
                <w:color w:val="auto"/>
                <w:kern w:val="0"/>
                <w:sz w:val="28"/>
                <w:szCs w:val="28"/>
                <w:highlight w:val="none"/>
                <w:lang w:bidi="ar"/>
              </w:rPr>
              <w:t>美丽乡村建设</w:t>
            </w:r>
          </w:p>
        </w:tc>
        <w:tc>
          <w:tcPr>
            <w:tcW w:w="1581"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6</w:t>
            </w:r>
          </w:p>
        </w:tc>
        <w:tc>
          <w:tcPr>
            <w:tcW w:w="1874"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color w:val="auto"/>
                <w:kern w:val="0"/>
                <w:sz w:val="28"/>
                <w:szCs w:val="28"/>
                <w:highlight w:val="none"/>
                <w:lang w:bidi="ar"/>
              </w:rPr>
            </w:pPr>
            <w:r>
              <w:rPr>
                <w:rFonts w:cs="Times New Roman"/>
                <w:bCs/>
                <w:color w:val="auto"/>
                <w:kern w:val="0"/>
                <w:sz w:val="28"/>
                <w:szCs w:val="28"/>
                <w:highlight w:val="none"/>
                <w:lang w:bidi="ar"/>
              </w:rPr>
              <w:t>7.8</w:t>
            </w:r>
          </w:p>
        </w:tc>
        <w:tc>
          <w:tcPr>
            <w:tcW w:w="2412"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75" w:type="pct"/>
            <w:gridSpan w:val="2"/>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合计</w:t>
            </w:r>
          </w:p>
        </w:tc>
        <w:tc>
          <w:tcPr>
            <w:tcW w:w="1581"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19</w:t>
            </w:r>
          </w:p>
        </w:tc>
        <w:tc>
          <w:tcPr>
            <w:tcW w:w="1874"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123.2</w:t>
            </w:r>
          </w:p>
        </w:tc>
        <w:tc>
          <w:tcPr>
            <w:tcW w:w="2412"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sz w:val="28"/>
                <w:szCs w:val="28"/>
                <w:highlight w:val="none"/>
              </w:rPr>
            </w:pPr>
            <w:r>
              <w:rPr>
                <w:rFonts w:cs="Times New Roman"/>
                <w:b/>
                <w:color w:val="auto"/>
                <w:kern w:val="0"/>
                <w:sz w:val="28"/>
                <w:szCs w:val="28"/>
                <w:highlight w:val="none"/>
              </w:rPr>
              <w:t>94.2</w:t>
            </w:r>
          </w:p>
        </w:tc>
      </w:tr>
    </w:tbl>
    <w:p>
      <w:pPr>
        <w:pStyle w:val="2"/>
        <w:ind w:left="655" w:firstLine="655"/>
        <w:rPr>
          <w:color w:val="auto"/>
          <w:highlight w:val="none"/>
        </w:rPr>
      </w:pPr>
    </w:p>
    <w:p>
      <w:pPr>
        <w:widowControl/>
        <w:spacing w:line="580" w:lineRule="exact"/>
        <w:ind w:firstLine="655"/>
        <w:jc w:val="left"/>
        <w:outlineLvl w:val="1"/>
        <w:rPr>
          <w:rFonts w:eastAsia="楷体_GB2312" w:cs="Times New Roman"/>
          <w:bCs/>
          <w:color w:val="auto"/>
          <w:szCs w:val="32"/>
          <w:highlight w:val="none"/>
        </w:rPr>
      </w:pPr>
      <w:bookmarkStart w:id="147" w:name="_Toc4095"/>
      <w:bookmarkStart w:id="148" w:name="_Toc23664"/>
      <w:bookmarkStart w:id="149" w:name="_Toc17625"/>
      <w:r>
        <w:rPr>
          <w:rFonts w:eastAsia="楷体_GB2312" w:cs="Times New Roman"/>
          <w:bCs/>
          <w:color w:val="auto"/>
          <w:szCs w:val="32"/>
          <w:highlight w:val="none"/>
        </w:rPr>
        <w:t>（四）生态环保领域</w:t>
      </w:r>
      <w:bookmarkEnd w:id="139"/>
      <w:bookmarkEnd w:id="140"/>
      <w:bookmarkEnd w:id="141"/>
      <w:bookmarkEnd w:id="142"/>
      <w:bookmarkEnd w:id="143"/>
      <w:bookmarkEnd w:id="144"/>
      <w:bookmarkEnd w:id="145"/>
      <w:bookmarkEnd w:id="146"/>
      <w:bookmarkEnd w:id="147"/>
      <w:bookmarkEnd w:id="148"/>
      <w:bookmarkEnd w:id="149"/>
    </w:p>
    <w:p>
      <w:pPr>
        <w:pStyle w:val="11"/>
        <w:spacing w:after="0" w:line="580" w:lineRule="exact"/>
        <w:ind w:firstLine="655"/>
        <w:rPr>
          <w:rFonts w:cs="Times New Roman"/>
          <w:color w:val="auto"/>
          <w:highlight w:val="none"/>
        </w:rPr>
      </w:pPr>
      <w:r>
        <w:rPr>
          <w:rFonts w:cs="Times New Roman"/>
          <w:color w:val="auto"/>
          <w:highlight w:val="none"/>
        </w:rPr>
        <w:t>围绕创建国家生态文明建设示范县，打造长三角绿色生态屏障，创新践行“绿水青山就是金山银山”理念，全领域、全地域、全过程、全方位加强生态文明建设，提高水利、环保、生态涵养、能源等设施建设质量、运营标准和管理水平，基本建成“诗画浙江”大花园示范区，确保生态文明建设继续走在前列。“十四五”期间，实施生态环保建设重大项目28个左右，完成投资43亿元左右。</w:t>
      </w:r>
    </w:p>
    <w:p>
      <w:pPr>
        <w:spacing w:line="580" w:lineRule="exact"/>
        <w:ind w:firstLine="658"/>
        <w:rPr>
          <w:rFonts w:cs="Times New Roman"/>
          <w:b/>
          <w:bCs/>
          <w:color w:val="auto"/>
          <w:highlight w:val="none"/>
        </w:rPr>
      </w:pPr>
      <w:r>
        <w:rPr>
          <w:rFonts w:cs="Times New Roman"/>
          <w:b/>
          <w:bCs/>
          <w:color w:val="auto"/>
          <w:highlight w:val="none"/>
        </w:rPr>
        <w:t>1.美丽水利设施</w:t>
      </w:r>
    </w:p>
    <w:p>
      <w:pPr>
        <w:spacing w:line="580" w:lineRule="exact"/>
        <w:ind w:firstLine="658"/>
        <w:rPr>
          <w:rFonts w:cs="Times New Roman"/>
          <w:color w:val="auto"/>
          <w:highlight w:val="none"/>
        </w:rPr>
      </w:pPr>
      <w:r>
        <w:rPr>
          <w:rFonts w:cs="Times New Roman"/>
          <w:b/>
          <w:bCs/>
          <w:color w:val="auto"/>
          <w:highlight w:val="none"/>
        </w:rPr>
        <w:t>高标准防洪保安体系。</w:t>
      </w:r>
      <w:r>
        <w:rPr>
          <w:rFonts w:cs="Times New Roman"/>
          <w:color w:val="auto"/>
          <w:highlight w:val="none"/>
        </w:rPr>
        <w:t>以防洪安全为基础，加大山塘水库除险加固，重点实施水土流失（山洪沟）治理工程、小型水库除险加固及山塘整治等项目，构建形成更加完善的“上蓄下挡、蓄泄兼筹、分片设防、弃保有序”流域防洪保安体系。</w:t>
      </w:r>
    </w:p>
    <w:p>
      <w:pPr>
        <w:pStyle w:val="21"/>
        <w:widowControl w:val="0"/>
        <w:spacing w:before="0" w:beforeAutospacing="0" w:after="0" w:afterAutospacing="0" w:line="580" w:lineRule="exact"/>
        <w:ind w:firstLine="658"/>
        <w:rPr>
          <w:rFonts w:ascii="Times New Roman" w:hAnsi="Times New Roman" w:eastAsia="仿宋_GB2312" w:cs="Times New Roman"/>
          <w:color w:val="auto"/>
          <w:kern w:val="2"/>
          <w:sz w:val="32"/>
          <w:szCs w:val="22"/>
          <w:highlight w:val="none"/>
        </w:rPr>
      </w:pPr>
      <w:r>
        <w:rPr>
          <w:rFonts w:ascii="Times New Roman" w:hAnsi="Times New Roman" w:eastAsia="仿宋_GB2312" w:cs="Times New Roman"/>
          <w:b/>
          <w:bCs/>
          <w:color w:val="auto"/>
          <w:kern w:val="2"/>
          <w:sz w:val="32"/>
          <w:szCs w:val="22"/>
          <w:highlight w:val="none"/>
        </w:rPr>
        <w:t>高品质水生态环境体系。</w:t>
      </w:r>
      <w:r>
        <w:rPr>
          <w:rFonts w:ascii="Times New Roman" w:hAnsi="Times New Roman" w:eastAsia="仿宋_GB2312" w:cs="Times New Roman"/>
          <w:color w:val="auto"/>
          <w:kern w:val="2"/>
          <w:sz w:val="32"/>
          <w:szCs w:val="22"/>
          <w:highlight w:val="none"/>
        </w:rPr>
        <w:t>实施幸福河湖工程，重点推进云和县龙泉溪云和段综合治理工程、龙泉溪治理二期工程、浮云溪流域综合治理工程以及小流域治理等项目，全面开展农村水系综合整治，提升河湖安全保障、改善河湖生态环境、提升河湖休闲惠民品味。</w:t>
      </w:r>
    </w:p>
    <w:p>
      <w:pPr>
        <w:spacing w:line="580" w:lineRule="exact"/>
        <w:ind w:firstLine="658"/>
        <w:rPr>
          <w:rFonts w:cs="Times New Roman"/>
          <w:color w:val="auto"/>
          <w:highlight w:val="none"/>
        </w:rPr>
      </w:pPr>
      <w:r>
        <w:rPr>
          <w:rFonts w:cs="Times New Roman"/>
          <w:b/>
          <w:bCs/>
          <w:color w:val="auto"/>
          <w:highlight w:val="none"/>
        </w:rPr>
        <w:t>更优的水资源保障体系。</w:t>
      </w:r>
      <w:r>
        <w:rPr>
          <w:rFonts w:cs="Times New Roman"/>
          <w:color w:val="auto"/>
          <w:highlight w:val="none"/>
        </w:rPr>
        <w:t>持续推进水资源优化配置，依托紧水滩引调水工程，谋划一批水资源综合开发利用项目。围绕提高农村规模化供水工程覆盖面和水源保障能力，推进县域供水工程（农村饮用水提标达标）、沈坑门水库工程等建设，在保障县城供水能力的情况下将周边有条件的村庄最大限度并入县城管网。谋划推进北洪南调工程。</w:t>
      </w:r>
    </w:p>
    <w:p>
      <w:pPr>
        <w:spacing w:line="580" w:lineRule="exact"/>
        <w:ind w:firstLine="655"/>
        <w:rPr>
          <w:rFonts w:cs="Times New Roman"/>
          <w:color w:val="auto"/>
          <w:highlight w:val="none"/>
        </w:rPr>
      </w:pPr>
      <w:r>
        <w:rPr>
          <w:rFonts w:cs="Times New Roman"/>
          <w:bCs/>
          <w:color w:val="auto"/>
          <w:szCs w:val="32"/>
          <w:highlight w:val="none"/>
        </w:rPr>
        <w:t>“十四五”期间，力争实施</w:t>
      </w:r>
      <w:r>
        <w:rPr>
          <w:rFonts w:cs="Times New Roman"/>
          <w:bCs/>
          <w:color w:val="auto"/>
          <w:szCs w:val="32"/>
          <w:highlight w:val="none"/>
        </w:rPr>
        <w:t>美丽水利重大项目15个左右，完成投资14亿元左右。</w:t>
      </w:r>
    </w:p>
    <w:p>
      <w:pPr>
        <w:spacing w:line="580" w:lineRule="exact"/>
        <w:ind w:firstLine="658"/>
        <w:rPr>
          <w:rFonts w:cs="Times New Roman"/>
          <w:b/>
          <w:bCs/>
          <w:color w:val="auto"/>
          <w:highlight w:val="none"/>
        </w:rPr>
      </w:pPr>
      <w:r>
        <w:rPr>
          <w:rFonts w:cs="Times New Roman"/>
          <w:b/>
          <w:bCs/>
          <w:color w:val="auto"/>
          <w:highlight w:val="none"/>
        </w:rPr>
        <w:t>2.环保基础设施</w:t>
      </w:r>
    </w:p>
    <w:p>
      <w:pPr>
        <w:spacing w:line="580" w:lineRule="exact"/>
        <w:ind w:firstLine="655"/>
        <w:rPr>
          <w:rFonts w:cs="Times New Roman"/>
          <w:color w:val="auto"/>
          <w:highlight w:val="none"/>
        </w:rPr>
      </w:pPr>
      <w:r>
        <w:rPr>
          <w:rFonts w:cs="Times New Roman"/>
          <w:color w:val="auto"/>
          <w:highlight w:val="none"/>
        </w:rPr>
        <w:t>全面提升城镇污染治理能力，加快城镇污水处理提质增效，持续推进城镇生活小区、镇（街道）“污水零直排区”建设，重点实施城市污水处理厂清洁排放技术改造及城区污水零直排工程、农村生活污水处理设施提升工程、城市污水处理厂扩容（第二污水处理厂）、崇头镇污水处理厂、赤石污水处理厂等项目。优化生活垃圾处理设施结构，重点实施生活垃圾资源化处置利用项目，构建生活垃圾分类投放、分类收集、分类清运、跨界运输、资源化处置体系，巩固生活垃圾“零增长”“零填埋”成果。“十四五”期间，力争实施环保基础设施重大项目6个左右，完成投资8亿元左右。</w:t>
      </w:r>
    </w:p>
    <w:p>
      <w:pPr>
        <w:spacing w:line="580" w:lineRule="exact"/>
        <w:ind w:firstLine="658"/>
        <w:rPr>
          <w:rFonts w:cs="Times New Roman"/>
          <w:b/>
          <w:color w:val="auto"/>
          <w:highlight w:val="none"/>
        </w:rPr>
      </w:pPr>
      <w:r>
        <w:rPr>
          <w:rFonts w:cs="Times New Roman"/>
          <w:b/>
          <w:color w:val="auto"/>
          <w:highlight w:val="none"/>
        </w:rPr>
        <w:t>3.生态涵养建设</w:t>
      </w:r>
    </w:p>
    <w:p>
      <w:pPr>
        <w:widowControl/>
        <w:adjustRightInd/>
        <w:snapToGrid/>
        <w:spacing w:line="580" w:lineRule="exact"/>
        <w:ind w:firstLine="658" w:firstLineChars="0"/>
        <w:rPr>
          <w:rFonts w:cs="Times New Roman"/>
          <w:color w:val="auto"/>
          <w:highlight w:val="none"/>
        </w:rPr>
      </w:pPr>
      <w:r>
        <w:rPr>
          <w:rFonts w:cs="Times New Roman"/>
          <w:color w:val="auto"/>
          <w:highlight w:val="none"/>
        </w:rPr>
        <w:t>围绕构建山水林田湖草生态安全格局，加大水资源生态保护，加大森林生态修复力度，加快对受破坏地区的治理和恢复，重点实施大搬快聚富民安居工程安置小区、美丽林相建设、饮用水源地生态治理工程等项目。“十四五”期间，力争实施生态涵养建设重大项目3个左右，完成投资9亿元左右。</w:t>
      </w:r>
    </w:p>
    <w:p>
      <w:pPr>
        <w:pStyle w:val="11"/>
        <w:spacing w:after="0" w:line="580" w:lineRule="exact"/>
        <w:ind w:firstLine="658"/>
        <w:rPr>
          <w:rFonts w:cs="Times New Roman"/>
          <w:b/>
          <w:bCs/>
          <w:color w:val="auto"/>
          <w:highlight w:val="none"/>
        </w:rPr>
      </w:pPr>
      <w:r>
        <w:rPr>
          <w:rFonts w:cs="Times New Roman"/>
          <w:b/>
          <w:bCs/>
          <w:color w:val="auto"/>
          <w:highlight w:val="none"/>
        </w:rPr>
        <w:t>4.绿色能源设施</w:t>
      </w:r>
    </w:p>
    <w:p>
      <w:pPr>
        <w:spacing w:line="580" w:lineRule="exact"/>
        <w:ind w:firstLine="655"/>
        <w:rPr>
          <w:rFonts w:cs="Times New Roman"/>
          <w:color w:val="auto"/>
          <w:highlight w:val="none"/>
        </w:rPr>
      </w:pPr>
      <w:r>
        <w:rPr>
          <w:rFonts w:cs="Times New Roman"/>
          <w:color w:val="auto"/>
          <w:highlight w:val="none"/>
        </w:rPr>
        <w:t>围绕建成省级清洁能源示范县，加快抽水蓄能、光伏发电、智能电网、天然气等能源基础设施建设。统筹高容量高能级电力设施建设，重点实施云和县“十四五”配电网建设项目，提升电网可靠性和供电质量。有序推进各类绿色清洁能源项目，重点实施紧水滩混合式抽水蓄能电站、整县分布式光伏发电、农光互补地面光伏电站、城市天然气利用工程。“十四五”期间，力争实施绿色能源设施重大项目4个，完成投资13亿元左右。</w:t>
      </w:r>
    </w:p>
    <w:p>
      <w:pPr>
        <w:ind w:firstLine="0" w:firstLineChars="0"/>
        <w:jc w:val="center"/>
        <w:rPr>
          <w:rFonts w:eastAsia="黑体" w:cs="Times New Roman"/>
          <w:color w:val="auto"/>
          <w:sz w:val="28"/>
          <w:szCs w:val="28"/>
          <w:highlight w:val="none"/>
        </w:rPr>
      </w:pPr>
      <w:r>
        <w:rPr>
          <w:rFonts w:eastAsia="黑体" w:cs="Times New Roman"/>
          <w:color w:val="auto"/>
          <w:sz w:val="28"/>
          <w:szCs w:val="28"/>
          <w:highlight w:val="none"/>
        </w:rPr>
        <w:t>表5  “十四五”期间生态环保领域实施类项目汇总表</w:t>
      </w:r>
    </w:p>
    <w:tbl>
      <w:tblPr>
        <w:tblStyle w:val="23"/>
        <w:tblW w:w="4995"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01"/>
        <w:gridCol w:w="1992"/>
        <w:gridCol w:w="1243"/>
        <w:gridCol w:w="2084"/>
        <w:gridCol w:w="22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481"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序号</w:t>
            </w:r>
          </w:p>
        </w:tc>
        <w:tc>
          <w:tcPr>
            <w:tcW w:w="1195"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项目分类</w:t>
            </w:r>
          </w:p>
        </w:tc>
        <w:tc>
          <w:tcPr>
            <w:tcW w:w="747"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项目数</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（个）</w:t>
            </w:r>
          </w:p>
        </w:tc>
        <w:tc>
          <w:tcPr>
            <w:tcW w:w="1251"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总投资额</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（亿元）</w:t>
            </w:r>
          </w:p>
        </w:tc>
        <w:tc>
          <w:tcPr>
            <w:tcW w:w="1322"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计划完成投资额（亿元）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481"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1195"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747"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1251"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c>
          <w:tcPr>
            <w:tcW w:w="1322"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8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bookmarkStart w:id="150" w:name="OLE_LINK2" w:colFirst="3" w:colLast="3"/>
            <w:r>
              <w:rPr>
                <w:rFonts w:cs="Times New Roman"/>
                <w:bCs/>
                <w:color w:val="auto"/>
                <w:kern w:val="0"/>
                <w:sz w:val="28"/>
                <w:szCs w:val="28"/>
                <w:highlight w:val="none"/>
                <w:lang w:bidi="ar"/>
              </w:rPr>
              <w:t>1</w:t>
            </w:r>
          </w:p>
        </w:tc>
        <w:tc>
          <w:tcPr>
            <w:tcW w:w="1195"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bCs/>
                <w:color w:val="auto"/>
                <w:kern w:val="0"/>
                <w:sz w:val="28"/>
                <w:szCs w:val="28"/>
                <w:highlight w:val="none"/>
                <w:lang w:bidi="ar"/>
              </w:rPr>
            </w:pPr>
            <w:r>
              <w:rPr>
                <w:rFonts w:cs="Times New Roman"/>
                <w:color w:val="auto"/>
                <w:kern w:val="0"/>
                <w:sz w:val="28"/>
                <w:szCs w:val="28"/>
                <w:highlight w:val="none"/>
                <w:lang w:bidi="ar"/>
              </w:rPr>
              <w:t>美丽水利设施</w:t>
            </w:r>
          </w:p>
        </w:tc>
        <w:tc>
          <w:tcPr>
            <w:tcW w:w="747"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15</w:t>
            </w:r>
          </w:p>
        </w:tc>
        <w:tc>
          <w:tcPr>
            <w:tcW w:w="125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18.6</w:t>
            </w:r>
          </w:p>
        </w:tc>
        <w:tc>
          <w:tcPr>
            <w:tcW w:w="1322"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8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w:t>
            </w:r>
          </w:p>
        </w:tc>
        <w:tc>
          <w:tcPr>
            <w:tcW w:w="1195"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bCs/>
                <w:color w:val="auto"/>
                <w:kern w:val="0"/>
                <w:sz w:val="28"/>
                <w:szCs w:val="28"/>
                <w:highlight w:val="none"/>
                <w:lang w:bidi="ar"/>
              </w:rPr>
            </w:pPr>
            <w:r>
              <w:rPr>
                <w:rFonts w:cs="Times New Roman"/>
                <w:color w:val="auto"/>
                <w:kern w:val="0"/>
                <w:sz w:val="28"/>
                <w:szCs w:val="28"/>
                <w:highlight w:val="none"/>
                <w:lang w:bidi="ar"/>
              </w:rPr>
              <w:t>环保基础设施</w:t>
            </w:r>
          </w:p>
        </w:tc>
        <w:tc>
          <w:tcPr>
            <w:tcW w:w="747"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6</w:t>
            </w:r>
          </w:p>
        </w:tc>
        <w:tc>
          <w:tcPr>
            <w:tcW w:w="1251" w:type="pct"/>
            <w:noWrap/>
            <w:tcMar>
              <w:top w:w="15" w:type="dxa"/>
              <w:left w:w="15" w:type="dxa"/>
              <w:right w:w="15" w:type="dxa"/>
            </w:tcMar>
            <w:vAlign w:val="center"/>
          </w:tcPr>
          <w:p>
            <w:pPr>
              <w:widowControl/>
              <w:adjustRightInd/>
              <w:snapToGrid/>
              <w:spacing w:line="360" w:lineRule="exact"/>
              <w:ind w:firstLine="0" w:firstLineChars="0"/>
              <w:jc w:val="center"/>
              <w:rPr>
                <w:rFonts w:hint="default" w:eastAsia="仿宋_GB2312" w:cs="Times New Roman"/>
                <w:bCs/>
                <w:color w:val="auto"/>
                <w:kern w:val="0"/>
                <w:sz w:val="28"/>
                <w:szCs w:val="28"/>
                <w:highlight w:val="none"/>
                <w:lang w:val="en-US" w:eastAsia="zh-CN" w:bidi="ar"/>
              </w:rPr>
            </w:pPr>
            <w:r>
              <w:rPr>
                <w:rFonts w:hint="eastAsia" w:cs="Times New Roman"/>
                <w:bCs/>
                <w:color w:val="auto"/>
                <w:kern w:val="0"/>
                <w:sz w:val="28"/>
                <w:szCs w:val="28"/>
                <w:highlight w:val="none"/>
                <w:lang w:eastAsia="zh-CN" w:bidi="ar"/>
              </w:rPr>
              <w:t>1</w:t>
            </w:r>
            <w:r>
              <w:rPr>
                <w:rFonts w:hint="eastAsia" w:cs="Times New Roman"/>
                <w:bCs/>
                <w:color w:val="auto"/>
                <w:kern w:val="0"/>
                <w:sz w:val="28"/>
                <w:szCs w:val="28"/>
                <w:highlight w:val="none"/>
                <w:lang w:val="en-US" w:eastAsia="zh-CN" w:bidi="ar"/>
              </w:rPr>
              <w:t>0.1</w:t>
            </w:r>
          </w:p>
        </w:tc>
        <w:tc>
          <w:tcPr>
            <w:tcW w:w="1322" w:type="pct"/>
            <w:noWrap/>
            <w:tcMar>
              <w:top w:w="15" w:type="dxa"/>
              <w:left w:w="15" w:type="dxa"/>
              <w:right w:w="15" w:type="dxa"/>
            </w:tcMar>
            <w:vAlign w:val="center"/>
          </w:tcPr>
          <w:p>
            <w:pPr>
              <w:widowControl/>
              <w:adjustRightInd/>
              <w:snapToGrid/>
              <w:spacing w:line="360" w:lineRule="exact"/>
              <w:ind w:firstLine="0" w:firstLineChars="0"/>
              <w:jc w:val="center"/>
              <w:rPr>
                <w:rFonts w:hint="default" w:eastAsia="仿宋_GB2312" w:cs="Times New Roman"/>
                <w:bCs/>
                <w:color w:val="auto"/>
                <w:kern w:val="0"/>
                <w:sz w:val="28"/>
                <w:szCs w:val="28"/>
                <w:highlight w:val="none"/>
                <w:lang w:val="en-US" w:eastAsia="zh-CN" w:bidi="ar"/>
              </w:rPr>
            </w:pPr>
            <w:r>
              <w:rPr>
                <w:rFonts w:hint="eastAsia" w:cs="Times New Roman"/>
                <w:bCs/>
                <w:color w:val="auto"/>
                <w:kern w:val="0"/>
                <w:sz w:val="28"/>
                <w:szCs w:val="28"/>
                <w:highlight w:val="none"/>
                <w:lang w:eastAsia="zh-CN" w:bidi="ar"/>
              </w:rPr>
              <w:t>8</w:t>
            </w:r>
            <w:r>
              <w:rPr>
                <w:rFonts w:hint="eastAsia" w:cs="Times New Roman"/>
                <w:bCs/>
                <w:color w:val="auto"/>
                <w:kern w:val="0"/>
                <w:sz w:val="28"/>
                <w:szCs w:val="28"/>
                <w:highlight w:val="none"/>
                <w:lang w:val="en-US" w:eastAsia="zh-CN" w:bidi="ar"/>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8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3</w:t>
            </w:r>
          </w:p>
        </w:tc>
        <w:tc>
          <w:tcPr>
            <w:tcW w:w="1195"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bCs/>
                <w:color w:val="auto"/>
                <w:kern w:val="0"/>
                <w:sz w:val="28"/>
                <w:szCs w:val="28"/>
                <w:highlight w:val="none"/>
                <w:lang w:bidi="ar"/>
              </w:rPr>
            </w:pPr>
            <w:r>
              <w:rPr>
                <w:rFonts w:cs="Times New Roman"/>
                <w:color w:val="auto"/>
                <w:kern w:val="0"/>
                <w:sz w:val="28"/>
                <w:szCs w:val="28"/>
                <w:highlight w:val="none"/>
                <w:lang w:bidi="ar"/>
              </w:rPr>
              <w:t>生态涵养建设</w:t>
            </w:r>
          </w:p>
        </w:tc>
        <w:tc>
          <w:tcPr>
            <w:tcW w:w="747"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3</w:t>
            </w:r>
          </w:p>
        </w:tc>
        <w:tc>
          <w:tcPr>
            <w:tcW w:w="125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13.6</w:t>
            </w:r>
          </w:p>
        </w:tc>
        <w:tc>
          <w:tcPr>
            <w:tcW w:w="1322"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8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4</w:t>
            </w:r>
          </w:p>
        </w:tc>
        <w:tc>
          <w:tcPr>
            <w:tcW w:w="1195" w:type="pct"/>
            <w:noWrap/>
            <w:tcMar>
              <w:top w:w="15" w:type="dxa"/>
              <w:left w:w="15" w:type="dxa"/>
              <w:right w:w="15" w:type="dxa"/>
            </w:tcMar>
            <w:vAlign w:val="center"/>
          </w:tcPr>
          <w:p>
            <w:pPr>
              <w:widowControl/>
              <w:spacing w:line="360" w:lineRule="exact"/>
              <w:ind w:firstLine="0" w:firstLineChars="0"/>
              <w:jc w:val="center"/>
              <w:textAlignment w:val="center"/>
              <w:rPr>
                <w:rFonts w:cs="Times New Roman"/>
                <w:bCs/>
                <w:color w:val="auto"/>
                <w:kern w:val="0"/>
                <w:sz w:val="28"/>
                <w:szCs w:val="28"/>
                <w:highlight w:val="none"/>
                <w:lang w:bidi="ar"/>
              </w:rPr>
            </w:pPr>
            <w:r>
              <w:rPr>
                <w:rFonts w:cs="Times New Roman"/>
                <w:color w:val="auto"/>
                <w:kern w:val="0"/>
                <w:sz w:val="28"/>
                <w:szCs w:val="28"/>
                <w:highlight w:val="none"/>
                <w:lang w:bidi="ar"/>
              </w:rPr>
              <w:t>绿色能源设施</w:t>
            </w:r>
          </w:p>
        </w:tc>
        <w:tc>
          <w:tcPr>
            <w:tcW w:w="747"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4</w:t>
            </w:r>
          </w:p>
        </w:tc>
        <w:tc>
          <w:tcPr>
            <w:tcW w:w="1251"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27.1</w:t>
            </w:r>
          </w:p>
        </w:tc>
        <w:tc>
          <w:tcPr>
            <w:tcW w:w="1322"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77" w:type="pct"/>
            <w:gridSpan w:val="2"/>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合计</w:t>
            </w:r>
          </w:p>
        </w:tc>
        <w:tc>
          <w:tcPr>
            <w:tcW w:w="747"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
                <w:color w:val="auto"/>
                <w:kern w:val="0"/>
                <w:sz w:val="28"/>
                <w:szCs w:val="28"/>
                <w:highlight w:val="none"/>
                <w:lang w:bidi="ar"/>
              </w:rPr>
              <w:t>28</w:t>
            </w:r>
          </w:p>
        </w:tc>
        <w:tc>
          <w:tcPr>
            <w:tcW w:w="1251" w:type="pct"/>
            <w:noWrap/>
            <w:tcMar>
              <w:top w:w="15" w:type="dxa"/>
              <w:left w:w="15" w:type="dxa"/>
              <w:right w:w="15" w:type="dxa"/>
            </w:tcMar>
            <w:vAlign w:val="center"/>
          </w:tcPr>
          <w:p>
            <w:pPr>
              <w:widowControl/>
              <w:adjustRightInd/>
              <w:snapToGrid/>
              <w:spacing w:line="360" w:lineRule="exact"/>
              <w:ind w:firstLine="0" w:firstLineChars="0"/>
              <w:jc w:val="center"/>
              <w:rPr>
                <w:rFonts w:hint="default" w:eastAsia="仿宋_GB2312" w:cs="Times New Roman"/>
                <w:b/>
                <w:color w:val="auto"/>
                <w:kern w:val="0"/>
                <w:sz w:val="28"/>
                <w:szCs w:val="28"/>
                <w:highlight w:val="none"/>
                <w:lang w:val="en-US" w:eastAsia="zh-CN" w:bidi="ar"/>
              </w:rPr>
            </w:pPr>
            <w:r>
              <w:rPr>
                <w:rFonts w:hint="eastAsia" w:cs="Times New Roman"/>
                <w:b/>
                <w:color w:val="auto"/>
                <w:kern w:val="0"/>
                <w:sz w:val="28"/>
                <w:szCs w:val="28"/>
                <w:highlight w:val="none"/>
                <w:lang w:val="en-US" w:eastAsia="zh-CN" w:bidi="ar"/>
              </w:rPr>
              <w:t>69.4</w:t>
            </w:r>
          </w:p>
        </w:tc>
        <w:tc>
          <w:tcPr>
            <w:tcW w:w="1322" w:type="pct"/>
            <w:noWrap/>
            <w:tcMar>
              <w:top w:w="15" w:type="dxa"/>
              <w:left w:w="15" w:type="dxa"/>
              <w:right w:w="15" w:type="dxa"/>
            </w:tcMar>
            <w:vAlign w:val="center"/>
          </w:tcPr>
          <w:p>
            <w:pPr>
              <w:widowControl/>
              <w:adjustRightInd/>
              <w:snapToGrid/>
              <w:spacing w:line="360" w:lineRule="exact"/>
              <w:ind w:firstLine="0" w:firstLineChars="0"/>
              <w:jc w:val="center"/>
              <w:rPr>
                <w:rFonts w:hint="default" w:eastAsia="仿宋_GB2312" w:cs="Times New Roman"/>
                <w:b/>
                <w:color w:val="auto"/>
                <w:kern w:val="0"/>
                <w:sz w:val="28"/>
                <w:szCs w:val="28"/>
                <w:highlight w:val="none"/>
                <w:lang w:val="en-US" w:eastAsia="zh-CN" w:bidi="ar"/>
              </w:rPr>
            </w:pPr>
            <w:r>
              <w:rPr>
                <w:rFonts w:hint="eastAsia" w:cs="Times New Roman"/>
                <w:b/>
                <w:color w:val="auto"/>
                <w:kern w:val="0"/>
                <w:sz w:val="28"/>
                <w:szCs w:val="28"/>
                <w:highlight w:val="none"/>
                <w:lang w:val="en-US" w:eastAsia="zh-CN" w:bidi="ar"/>
              </w:rPr>
              <w:t>43.6</w:t>
            </w:r>
          </w:p>
        </w:tc>
      </w:tr>
      <w:bookmarkEnd w:id="150"/>
    </w:tbl>
    <w:p>
      <w:pPr>
        <w:spacing w:line="580" w:lineRule="exact"/>
        <w:ind w:firstLine="655"/>
        <w:rPr>
          <w:rFonts w:eastAsia="楷体_GB2312" w:cs="Times New Roman"/>
          <w:bCs/>
          <w:color w:val="auto"/>
          <w:szCs w:val="32"/>
          <w:highlight w:val="none"/>
        </w:rPr>
      </w:pPr>
      <w:bookmarkStart w:id="151" w:name="_Toc18066"/>
      <w:bookmarkStart w:id="152" w:name="_Toc15826"/>
      <w:bookmarkStart w:id="153" w:name="_Toc8096"/>
      <w:bookmarkStart w:id="154" w:name="_Toc24292"/>
      <w:bookmarkStart w:id="155" w:name="_Toc12904"/>
      <w:bookmarkStart w:id="156" w:name="_Toc8641"/>
      <w:bookmarkStart w:id="157" w:name="_Toc22781"/>
      <w:bookmarkStart w:id="158" w:name="_Toc9271"/>
      <w:bookmarkStart w:id="159" w:name="_Toc68621829"/>
      <w:bookmarkStart w:id="160" w:name="_Toc4137"/>
      <w:bookmarkStart w:id="161" w:name="_Toc25547"/>
      <w:bookmarkStart w:id="162" w:name="_Toc12592"/>
      <w:bookmarkStart w:id="163" w:name="_Toc17371"/>
    </w:p>
    <w:p>
      <w:pPr>
        <w:widowControl/>
        <w:spacing w:line="580" w:lineRule="exact"/>
        <w:ind w:firstLine="655"/>
        <w:jc w:val="left"/>
        <w:outlineLvl w:val="1"/>
        <w:rPr>
          <w:rFonts w:eastAsia="楷体_GB2312" w:cs="Times New Roman"/>
          <w:bCs/>
          <w:color w:val="auto"/>
          <w:szCs w:val="32"/>
          <w:highlight w:val="none"/>
        </w:rPr>
      </w:pPr>
      <w:r>
        <w:rPr>
          <w:rFonts w:eastAsia="楷体_GB2312" w:cs="Times New Roman"/>
          <w:bCs/>
          <w:color w:val="auto"/>
          <w:szCs w:val="32"/>
          <w:highlight w:val="none"/>
        </w:rPr>
        <w:t>（五）公共服务领域</w:t>
      </w:r>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580" w:lineRule="exact"/>
        <w:ind w:firstLine="655"/>
        <w:rPr>
          <w:rFonts w:cs="Times New Roman"/>
          <w:color w:val="auto"/>
          <w:szCs w:val="32"/>
          <w:highlight w:val="none"/>
        </w:rPr>
      </w:pPr>
      <w:r>
        <w:rPr>
          <w:rFonts w:cs="Times New Roman"/>
          <w:color w:val="auto"/>
          <w:highlight w:val="none"/>
        </w:rPr>
        <w:t>围绕打造幸福和谐新家园，以增进民生福祉为目标，</w:t>
      </w:r>
      <w:r>
        <w:rPr>
          <w:rFonts w:cs="Times New Roman"/>
          <w:color w:val="auto"/>
          <w:szCs w:val="32"/>
          <w:highlight w:val="none"/>
        </w:rPr>
        <w:t>加快</w:t>
      </w:r>
      <w:r>
        <w:rPr>
          <w:rFonts w:cs="Times New Roman"/>
          <w:color w:val="auto"/>
          <w:highlight w:val="none"/>
        </w:rPr>
        <w:t>教育、医疗卫生、文化体育、社会保障、公共安全等设施建设，补足缺口、增量提质，筑牢织密民生保障底线，使人民全生命周期需求普遍得到更高水平满足，公共服务均等化、优质化水平进一步提升。</w:t>
      </w:r>
      <w:r>
        <w:rPr>
          <w:rFonts w:cs="Times New Roman"/>
          <w:color w:val="auto"/>
          <w:szCs w:val="32"/>
          <w:highlight w:val="none"/>
        </w:rPr>
        <w:t>“十四五”期间，</w:t>
      </w:r>
      <w:r>
        <w:rPr>
          <w:rFonts w:cs="Times New Roman"/>
          <w:color w:val="auto"/>
          <w:highlight w:val="none"/>
        </w:rPr>
        <w:t>力争实施公共服务重大项目31个左右，完成投资19亿元左右。</w:t>
      </w:r>
    </w:p>
    <w:p>
      <w:pPr>
        <w:pStyle w:val="11"/>
        <w:spacing w:after="0" w:line="580" w:lineRule="exact"/>
        <w:ind w:firstLine="658"/>
        <w:rPr>
          <w:rFonts w:cs="Times New Roman"/>
          <w:b/>
          <w:bCs/>
          <w:color w:val="auto"/>
          <w:highlight w:val="none"/>
        </w:rPr>
      </w:pPr>
      <w:r>
        <w:rPr>
          <w:rFonts w:cs="Times New Roman"/>
          <w:b/>
          <w:bCs/>
          <w:color w:val="auto"/>
          <w:highlight w:val="none"/>
        </w:rPr>
        <w:t>1.教育</w:t>
      </w:r>
    </w:p>
    <w:p>
      <w:pPr>
        <w:pStyle w:val="11"/>
        <w:spacing w:after="0" w:line="580" w:lineRule="exact"/>
        <w:ind w:firstLine="655"/>
        <w:rPr>
          <w:rFonts w:cs="Times New Roman"/>
          <w:bCs/>
          <w:color w:val="auto"/>
          <w:szCs w:val="32"/>
          <w:highlight w:val="none"/>
        </w:rPr>
      </w:pPr>
      <w:r>
        <w:rPr>
          <w:rFonts w:cs="Times New Roman"/>
          <w:color w:val="auto"/>
          <w:highlight w:val="none"/>
        </w:rPr>
        <w:t>围绕与全省同步实现教育现代化目标，实施学前教育普惠工程、小学教育强基工程、初中教育“壮腰”工程，</w:t>
      </w:r>
      <w:r>
        <w:rPr>
          <w:rFonts w:cs="Times New Roman"/>
          <w:bCs/>
          <w:color w:val="auto"/>
          <w:szCs w:val="32"/>
          <w:highlight w:val="none"/>
        </w:rPr>
        <w:t>加快补齐教育发展短板，优化基础教育资源布局。重点建设大坪幼儿园、实验小学分校、云和县第四中学、中等职业技术学校产教融合中心二期工程、中小学校舍提升工程</w:t>
      </w:r>
      <w:r>
        <w:rPr>
          <w:rFonts w:cs="Times New Roman"/>
          <w:color w:val="auto"/>
          <w:highlight w:val="none"/>
        </w:rPr>
        <w:t>、县委党校迁建工程</w:t>
      </w:r>
      <w:r>
        <w:rPr>
          <w:rFonts w:cs="Times New Roman"/>
          <w:bCs/>
          <w:color w:val="auto"/>
          <w:szCs w:val="32"/>
          <w:highlight w:val="none"/>
        </w:rPr>
        <w:t>等实施类项目，加快推进新建小学（名称待定）、第三中学健美操大楼、中等职业技术学校产教融合中心三期等谋划类项目。</w:t>
      </w:r>
      <w:r>
        <w:rPr>
          <w:rFonts w:cs="Times New Roman"/>
          <w:color w:val="auto"/>
          <w:highlight w:val="none"/>
        </w:rPr>
        <w:t>“十四五”期间，力争实施教育重大项目16个左右，完成投资14亿元左右。</w:t>
      </w:r>
    </w:p>
    <w:p>
      <w:pPr>
        <w:spacing w:line="580" w:lineRule="exact"/>
        <w:ind w:firstLine="658"/>
        <w:rPr>
          <w:rFonts w:cs="Times New Roman"/>
          <w:b/>
          <w:bCs/>
          <w:color w:val="auto"/>
          <w:highlight w:val="none"/>
        </w:rPr>
      </w:pPr>
      <w:r>
        <w:rPr>
          <w:rFonts w:cs="Times New Roman"/>
          <w:b/>
          <w:bCs/>
          <w:color w:val="auto"/>
          <w:highlight w:val="none"/>
        </w:rPr>
        <w:t>2.医疗卫生</w:t>
      </w:r>
    </w:p>
    <w:p>
      <w:pPr>
        <w:spacing w:line="580" w:lineRule="exact"/>
        <w:ind w:firstLine="655"/>
        <w:rPr>
          <w:rFonts w:cs="Times New Roman"/>
          <w:b/>
          <w:bCs/>
          <w:color w:val="auto"/>
          <w:highlight w:val="none"/>
        </w:rPr>
      </w:pPr>
      <w:r>
        <w:rPr>
          <w:rFonts w:cs="Times New Roman"/>
          <w:color w:val="auto"/>
          <w:highlight w:val="none"/>
        </w:rPr>
        <w:t>全面推进公共卫生补短板，加强公共医疗资源供给，重点实施人民医院病房扩建、中医医院迁建、崇头镇中心卫生院拆建以及城北社区卫生服务中心和人民医院公共卫生应急保障楼新建等项目。“十四五”期间，力争实施医疗卫生重大项目5个左右，完成投资3亿元左右。</w:t>
      </w:r>
    </w:p>
    <w:p>
      <w:pPr>
        <w:spacing w:line="580" w:lineRule="exact"/>
        <w:ind w:firstLine="658"/>
        <w:rPr>
          <w:rFonts w:cs="Times New Roman"/>
          <w:b/>
          <w:bCs/>
          <w:color w:val="auto"/>
          <w:highlight w:val="none"/>
        </w:rPr>
      </w:pPr>
      <w:r>
        <w:rPr>
          <w:rFonts w:cs="Times New Roman"/>
          <w:b/>
          <w:bCs/>
          <w:color w:val="auto"/>
          <w:highlight w:val="none"/>
        </w:rPr>
        <w:t>3.文化体育</w:t>
      </w:r>
    </w:p>
    <w:p>
      <w:pPr>
        <w:spacing w:line="580" w:lineRule="exact"/>
        <w:ind w:firstLine="655"/>
        <w:rPr>
          <w:rFonts w:cs="Times New Roman"/>
          <w:color w:val="auto"/>
          <w:highlight w:val="none"/>
        </w:rPr>
      </w:pPr>
      <w:r>
        <w:rPr>
          <w:rFonts w:cs="Times New Roman"/>
          <w:color w:val="auto"/>
          <w:highlight w:val="none"/>
        </w:rPr>
        <w:t>实施“四提升四覆盖”全民健身工程，推进社区多功能公共体育场、全民健身活动中心、健身步道等建设，加快构建城镇社区和农村“15分钟健身圈”。重点建设凤凰山全民健身公园、童话云和大花园绿道网、县妇女儿童活动中心等项目。“十四五”期间，力争实施文化体育重大项目4个左右，完成投资1.6亿元左右。</w:t>
      </w:r>
    </w:p>
    <w:p>
      <w:pPr>
        <w:spacing w:line="580" w:lineRule="exact"/>
        <w:ind w:firstLine="658"/>
        <w:rPr>
          <w:rFonts w:cs="Times New Roman"/>
          <w:b/>
          <w:bCs/>
          <w:color w:val="auto"/>
          <w:highlight w:val="none"/>
        </w:rPr>
      </w:pPr>
      <w:r>
        <w:rPr>
          <w:rFonts w:cs="Times New Roman"/>
          <w:b/>
          <w:bCs/>
          <w:color w:val="auto"/>
          <w:highlight w:val="none"/>
        </w:rPr>
        <w:t>4.社会保障</w:t>
      </w:r>
    </w:p>
    <w:p>
      <w:pPr>
        <w:spacing w:line="580" w:lineRule="exact"/>
        <w:ind w:firstLine="655"/>
        <w:rPr>
          <w:rFonts w:cs="Times New Roman"/>
          <w:color w:val="auto"/>
          <w:highlight w:val="none"/>
        </w:rPr>
      </w:pPr>
      <w:r>
        <w:rPr>
          <w:rFonts w:cs="Times New Roman"/>
          <w:color w:val="auto"/>
          <w:highlight w:val="none"/>
        </w:rPr>
        <w:t>健全分层分类的新时代救助体系，重点实施残疾人托养及康复中心、流浪乞讨救助站等项目，建立高质量的民生兜底保障安全网。“十四五”期间，力争实施社会保障重大项目2个左右，完成投资0.4亿元左右。</w:t>
      </w:r>
    </w:p>
    <w:p>
      <w:pPr>
        <w:spacing w:line="580" w:lineRule="exact"/>
        <w:ind w:firstLine="658"/>
        <w:rPr>
          <w:rFonts w:cs="Times New Roman"/>
          <w:b/>
          <w:bCs/>
          <w:color w:val="auto"/>
          <w:highlight w:val="none"/>
        </w:rPr>
      </w:pPr>
      <w:r>
        <w:rPr>
          <w:rFonts w:cs="Times New Roman"/>
          <w:b/>
          <w:bCs/>
          <w:color w:val="auto"/>
          <w:highlight w:val="none"/>
        </w:rPr>
        <w:t>5.公共安全</w:t>
      </w:r>
    </w:p>
    <w:p>
      <w:pPr>
        <w:spacing w:line="580" w:lineRule="exact"/>
        <w:ind w:firstLine="655"/>
        <w:rPr>
          <w:rFonts w:cs="Times New Roman"/>
          <w:color w:val="auto"/>
          <w:highlight w:val="none"/>
        </w:rPr>
      </w:pPr>
      <w:r>
        <w:rPr>
          <w:rFonts w:cs="Times New Roman"/>
          <w:color w:val="auto"/>
          <w:highlight w:val="none"/>
        </w:rPr>
        <w:t>围绕应急管理体系和能力现代化建设，健全执法、人防、消防等全方位风险防控体系，形成全天候、系统性、现代化的运行应急管理体系，重点实施公安局执法“三个中心”技术用房工程、2029工程二期、消防大队迁建工程、民爆仓库迁建工程等项目。“十四五”期间，力争实施公共安全设施重大项目4个左右，完成投资0.9亿元左右。</w:t>
      </w:r>
    </w:p>
    <w:p>
      <w:pPr>
        <w:ind w:firstLine="0" w:firstLineChars="0"/>
        <w:jc w:val="center"/>
        <w:rPr>
          <w:rFonts w:eastAsia="黑体" w:cs="Times New Roman"/>
          <w:color w:val="auto"/>
          <w:sz w:val="28"/>
          <w:szCs w:val="28"/>
          <w:highlight w:val="none"/>
        </w:rPr>
      </w:pPr>
      <w:r>
        <w:rPr>
          <w:rFonts w:eastAsia="黑体" w:cs="Times New Roman"/>
          <w:color w:val="auto"/>
          <w:sz w:val="28"/>
          <w:szCs w:val="28"/>
          <w:highlight w:val="none"/>
        </w:rPr>
        <w:t>表6  “十四五”期间公共服务领域实施类项目汇总表</w:t>
      </w:r>
    </w:p>
    <w:tbl>
      <w:tblPr>
        <w:tblStyle w:val="23"/>
        <w:tblW w:w="499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22"/>
        <w:gridCol w:w="1485"/>
        <w:gridCol w:w="1477"/>
        <w:gridCol w:w="2324"/>
        <w:gridCol w:w="23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9" w:hRule="atLeast"/>
          <w:tblHeader/>
          <w:jc w:val="center"/>
        </w:trPr>
        <w:tc>
          <w:tcPr>
            <w:tcW w:w="434"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序号</w:t>
            </w:r>
          </w:p>
        </w:tc>
        <w:tc>
          <w:tcPr>
            <w:tcW w:w="892"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项目分类</w:t>
            </w:r>
          </w:p>
        </w:tc>
        <w:tc>
          <w:tcPr>
            <w:tcW w:w="887"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项目数</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（个）</w:t>
            </w:r>
          </w:p>
        </w:tc>
        <w:tc>
          <w:tcPr>
            <w:tcW w:w="1396"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总投资额</w:t>
            </w:r>
          </w:p>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（亿元）</w:t>
            </w:r>
          </w:p>
        </w:tc>
        <w:tc>
          <w:tcPr>
            <w:tcW w:w="1391" w:type="pct"/>
            <w:vMerge w:val="restart"/>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计划完成投资额（亿元）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60" w:hRule="atLeast"/>
          <w:tblHeader/>
          <w:jc w:val="center"/>
        </w:trPr>
        <w:tc>
          <w:tcPr>
            <w:tcW w:w="434"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892"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887"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p>
        </w:tc>
        <w:tc>
          <w:tcPr>
            <w:tcW w:w="1396"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c>
          <w:tcPr>
            <w:tcW w:w="1391" w:type="pct"/>
            <w:vMerge w:val="continue"/>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434"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w:t>
            </w:r>
          </w:p>
        </w:tc>
        <w:tc>
          <w:tcPr>
            <w:tcW w:w="892"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教育</w:t>
            </w:r>
          </w:p>
        </w:tc>
        <w:tc>
          <w:tcPr>
            <w:tcW w:w="147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16</w:t>
            </w:r>
          </w:p>
        </w:tc>
        <w:tc>
          <w:tcPr>
            <w:tcW w:w="2324"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14.0</w:t>
            </w:r>
          </w:p>
        </w:tc>
        <w:tc>
          <w:tcPr>
            <w:tcW w:w="2316"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434"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w:t>
            </w:r>
          </w:p>
        </w:tc>
        <w:tc>
          <w:tcPr>
            <w:tcW w:w="892"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医疗卫生</w:t>
            </w:r>
          </w:p>
        </w:tc>
        <w:tc>
          <w:tcPr>
            <w:tcW w:w="147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5</w:t>
            </w:r>
          </w:p>
        </w:tc>
        <w:tc>
          <w:tcPr>
            <w:tcW w:w="2324"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3.2</w:t>
            </w:r>
          </w:p>
        </w:tc>
        <w:tc>
          <w:tcPr>
            <w:tcW w:w="2316"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434"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3</w:t>
            </w:r>
          </w:p>
        </w:tc>
        <w:tc>
          <w:tcPr>
            <w:tcW w:w="892"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文化体育</w:t>
            </w:r>
          </w:p>
        </w:tc>
        <w:tc>
          <w:tcPr>
            <w:tcW w:w="147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4</w:t>
            </w:r>
          </w:p>
        </w:tc>
        <w:tc>
          <w:tcPr>
            <w:tcW w:w="2324"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1.8</w:t>
            </w:r>
          </w:p>
        </w:tc>
        <w:tc>
          <w:tcPr>
            <w:tcW w:w="2316"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434"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4</w:t>
            </w:r>
          </w:p>
        </w:tc>
        <w:tc>
          <w:tcPr>
            <w:tcW w:w="892"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社会保障</w:t>
            </w:r>
          </w:p>
        </w:tc>
        <w:tc>
          <w:tcPr>
            <w:tcW w:w="147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w:t>
            </w:r>
          </w:p>
        </w:tc>
        <w:tc>
          <w:tcPr>
            <w:tcW w:w="2324"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0.6</w:t>
            </w:r>
          </w:p>
        </w:tc>
        <w:tc>
          <w:tcPr>
            <w:tcW w:w="2316"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434"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5</w:t>
            </w:r>
          </w:p>
        </w:tc>
        <w:tc>
          <w:tcPr>
            <w:tcW w:w="892" w:type="pct"/>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公共安全</w:t>
            </w:r>
          </w:p>
        </w:tc>
        <w:tc>
          <w:tcPr>
            <w:tcW w:w="147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4</w:t>
            </w:r>
          </w:p>
        </w:tc>
        <w:tc>
          <w:tcPr>
            <w:tcW w:w="2324"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1.6</w:t>
            </w:r>
          </w:p>
        </w:tc>
        <w:tc>
          <w:tcPr>
            <w:tcW w:w="2316"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lang w:bidi="ar"/>
              </w:rPr>
            </w:pPr>
            <w:r>
              <w:rPr>
                <w:rFonts w:cs="Times New Roman"/>
                <w:bCs/>
                <w:color w:val="auto"/>
                <w:kern w:val="0"/>
                <w:sz w:val="28"/>
                <w:szCs w:val="28"/>
                <w:highlight w:val="none"/>
                <w:lang w:bidi="ar"/>
              </w:rPr>
              <w:t>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326" w:type="pct"/>
            <w:gridSpan w:val="2"/>
            <w:noWrap/>
            <w:tcMar>
              <w:top w:w="15" w:type="dxa"/>
              <w:left w:w="15" w:type="dxa"/>
              <w:right w:w="15" w:type="dxa"/>
            </w:tcMar>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合计</w:t>
            </w:r>
          </w:p>
        </w:tc>
        <w:tc>
          <w:tcPr>
            <w:tcW w:w="1477" w:type="dxa"/>
            <w:noWrap/>
            <w:tcMar>
              <w:top w:w="15" w:type="dxa"/>
              <w:left w:w="15" w:type="dxa"/>
              <w:right w:w="15" w:type="dxa"/>
            </w:tcMar>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31</w:t>
            </w:r>
          </w:p>
        </w:tc>
        <w:tc>
          <w:tcPr>
            <w:tcW w:w="2324" w:type="dxa"/>
            <w:noWrap/>
            <w:tcMar>
              <w:top w:w="15" w:type="dxa"/>
              <w:left w:w="15" w:type="dxa"/>
              <w:right w:w="15" w:type="dxa"/>
            </w:tcMar>
            <w:vAlign w:val="center"/>
          </w:tcPr>
          <w:p>
            <w:pPr>
              <w:widowControl/>
              <w:adjustRightInd/>
              <w:snapToGrid/>
              <w:spacing w:line="360" w:lineRule="exact"/>
              <w:ind w:firstLine="0" w:firstLineChars="0"/>
              <w:jc w:val="center"/>
              <w:rPr>
                <w:rFonts w:hint="eastAsia" w:eastAsia="仿宋_GB2312" w:cs="Times New Roman"/>
                <w:b/>
                <w:color w:val="auto"/>
                <w:kern w:val="0"/>
                <w:sz w:val="28"/>
                <w:szCs w:val="28"/>
                <w:highlight w:val="none"/>
                <w:lang w:val="en-US" w:eastAsia="zh-CN" w:bidi="ar"/>
              </w:rPr>
            </w:pPr>
            <w:r>
              <w:rPr>
                <w:rFonts w:cs="Times New Roman"/>
                <w:b/>
                <w:color w:val="auto"/>
                <w:kern w:val="0"/>
                <w:sz w:val="28"/>
                <w:szCs w:val="28"/>
                <w:highlight w:val="none"/>
                <w:lang w:bidi="ar"/>
              </w:rPr>
              <w:t>21.</w:t>
            </w:r>
            <w:r>
              <w:rPr>
                <w:rFonts w:hint="eastAsia" w:cs="Times New Roman"/>
                <w:b/>
                <w:color w:val="auto"/>
                <w:kern w:val="0"/>
                <w:sz w:val="28"/>
                <w:szCs w:val="28"/>
                <w:highlight w:val="none"/>
                <w:lang w:eastAsia="zh-CN" w:bidi="ar"/>
              </w:rPr>
              <w:t>3</w:t>
            </w:r>
          </w:p>
        </w:tc>
        <w:tc>
          <w:tcPr>
            <w:tcW w:w="2316" w:type="dxa"/>
            <w:noWrap/>
            <w:tcMar>
              <w:top w:w="15" w:type="dxa"/>
              <w:left w:w="15" w:type="dxa"/>
              <w:right w:w="15" w:type="dxa"/>
            </w:tcMar>
            <w:vAlign w:val="center"/>
          </w:tcPr>
          <w:p>
            <w:pPr>
              <w:widowControl/>
              <w:adjustRightInd/>
              <w:snapToGrid/>
              <w:spacing w:line="360" w:lineRule="exact"/>
              <w:ind w:firstLine="0" w:firstLineChars="0"/>
              <w:jc w:val="center"/>
              <w:rPr>
                <w:rFonts w:hint="eastAsia" w:eastAsia="仿宋_GB2312" w:cs="Times New Roman"/>
                <w:b/>
                <w:color w:val="auto"/>
                <w:kern w:val="0"/>
                <w:sz w:val="28"/>
                <w:szCs w:val="28"/>
                <w:highlight w:val="none"/>
                <w:lang w:eastAsia="zh-CN" w:bidi="ar"/>
              </w:rPr>
            </w:pPr>
            <w:r>
              <w:rPr>
                <w:rFonts w:cs="Times New Roman"/>
                <w:b/>
                <w:color w:val="auto"/>
                <w:kern w:val="0"/>
                <w:sz w:val="28"/>
                <w:szCs w:val="28"/>
                <w:highlight w:val="none"/>
                <w:lang w:bidi="ar"/>
              </w:rPr>
              <w:t>19.</w:t>
            </w:r>
            <w:r>
              <w:rPr>
                <w:rFonts w:hint="eastAsia" w:cs="Times New Roman"/>
                <w:b/>
                <w:color w:val="auto"/>
                <w:kern w:val="0"/>
                <w:sz w:val="28"/>
                <w:szCs w:val="28"/>
                <w:highlight w:val="none"/>
                <w:lang w:val="en-US" w:eastAsia="zh-CN" w:bidi="ar"/>
              </w:rPr>
              <w:t>6</w:t>
            </w:r>
          </w:p>
        </w:tc>
      </w:tr>
    </w:tbl>
    <w:p>
      <w:pPr>
        <w:ind w:firstLine="655"/>
        <w:rPr>
          <w:rFonts w:cs="Times New Roman"/>
          <w:color w:val="auto"/>
          <w:highlight w:val="none"/>
        </w:rPr>
      </w:pPr>
      <w:bookmarkStart w:id="164" w:name="_Toc28752"/>
      <w:bookmarkStart w:id="165" w:name="_Toc28969"/>
      <w:bookmarkStart w:id="166" w:name="_Toc21494"/>
      <w:bookmarkStart w:id="167" w:name="_Toc29415"/>
      <w:bookmarkStart w:id="168" w:name="_Toc5496"/>
    </w:p>
    <w:p>
      <w:pPr>
        <w:pStyle w:val="4"/>
        <w:spacing w:line="580" w:lineRule="exact"/>
        <w:ind w:firstLine="655"/>
        <w:rPr>
          <w:rFonts w:cs="Times New Roman"/>
          <w:color w:val="auto"/>
          <w:highlight w:val="none"/>
        </w:rPr>
      </w:pPr>
      <w:r>
        <w:rPr>
          <w:rFonts w:cs="Times New Roman"/>
          <w:color w:val="auto"/>
          <w:highlight w:val="none"/>
        </w:rPr>
        <w:t>五、支撑政策</w:t>
      </w:r>
      <w:bookmarkEnd w:id="164"/>
      <w:bookmarkEnd w:id="165"/>
      <w:bookmarkEnd w:id="166"/>
      <w:bookmarkEnd w:id="167"/>
      <w:bookmarkEnd w:id="168"/>
    </w:p>
    <w:p>
      <w:pPr>
        <w:widowControl/>
        <w:spacing w:line="580" w:lineRule="exact"/>
        <w:ind w:firstLine="655"/>
        <w:jc w:val="left"/>
        <w:outlineLvl w:val="1"/>
        <w:rPr>
          <w:rFonts w:eastAsia="楷体_GB2312" w:cs="Times New Roman"/>
          <w:bCs/>
          <w:color w:val="auto"/>
          <w:szCs w:val="32"/>
          <w:highlight w:val="none"/>
        </w:rPr>
      </w:pPr>
      <w:bookmarkStart w:id="169" w:name="_Toc5164"/>
      <w:bookmarkStart w:id="170" w:name="_Toc25497"/>
      <w:bookmarkStart w:id="171" w:name="_Toc12956"/>
      <w:bookmarkStart w:id="172" w:name="_Toc19542"/>
      <w:bookmarkStart w:id="173" w:name="_Toc6879"/>
      <w:bookmarkStart w:id="174" w:name="_Toc29484"/>
      <w:bookmarkStart w:id="175" w:name="_Toc19560"/>
      <w:r>
        <w:rPr>
          <w:rFonts w:eastAsia="楷体_GB2312" w:cs="Times New Roman"/>
          <w:bCs/>
          <w:color w:val="auto"/>
          <w:szCs w:val="32"/>
          <w:highlight w:val="none"/>
        </w:rPr>
        <w:t>（一）</w:t>
      </w:r>
      <w:bookmarkEnd w:id="169"/>
      <w:bookmarkEnd w:id="170"/>
      <w:r>
        <w:rPr>
          <w:rFonts w:eastAsia="楷体_GB2312" w:cs="Times New Roman"/>
          <w:bCs/>
          <w:color w:val="auto"/>
          <w:szCs w:val="32"/>
          <w:highlight w:val="none"/>
        </w:rPr>
        <w:t>深化投融资机制</w:t>
      </w:r>
      <w:bookmarkEnd w:id="171"/>
      <w:bookmarkEnd w:id="172"/>
      <w:bookmarkEnd w:id="173"/>
      <w:bookmarkEnd w:id="174"/>
      <w:bookmarkEnd w:id="175"/>
      <w:r>
        <w:rPr>
          <w:rFonts w:eastAsia="楷体_GB2312" w:cs="Times New Roman"/>
          <w:bCs/>
          <w:color w:val="auto"/>
          <w:szCs w:val="32"/>
          <w:highlight w:val="none"/>
        </w:rPr>
        <w:t>改革</w:t>
      </w:r>
    </w:p>
    <w:p>
      <w:pPr>
        <w:spacing w:line="580" w:lineRule="exact"/>
        <w:ind w:firstLine="658"/>
        <w:rPr>
          <w:rFonts w:cs="Times New Roman"/>
          <w:color w:val="auto"/>
          <w:szCs w:val="32"/>
          <w:highlight w:val="none"/>
        </w:rPr>
      </w:pPr>
      <w:r>
        <w:rPr>
          <w:rFonts w:cs="Times New Roman"/>
          <w:b/>
          <w:color w:val="auto"/>
          <w:szCs w:val="32"/>
          <w:highlight w:val="none"/>
        </w:rPr>
        <w:t>深入推进投资审批制度改革。</w:t>
      </w:r>
      <w:r>
        <w:rPr>
          <w:rFonts w:cs="Times New Roman"/>
          <w:bCs/>
          <w:color w:val="auto"/>
          <w:szCs w:val="32"/>
          <w:highlight w:val="none"/>
        </w:rPr>
        <w:t>深化企业投资项目“最多跑一次”改革，在一般企业投资项目审批“最多80天”基础上进一步压缩审批时间，加快实现企业投资低风险小型项目审批“最多15个工作日”的目标。持续探索以承诺制为核心的“极简审批”</w:t>
      </w:r>
      <w:r>
        <w:rPr>
          <w:rFonts w:cs="Times New Roman"/>
          <w:color w:val="auto"/>
          <w:highlight w:val="none"/>
        </w:rPr>
        <w:t>，有效加快项目审批效率。</w:t>
      </w:r>
      <w:r>
        <w:rPr>
          <w:rFonts w:cs="Times New Roman"/>
          <w:bCs/>
          <w:color w:val="auto"/>
          <w:szCs w:val="32"/>
          <w:highlight w:val="none"/>
        </w:rPr>
        <w:t>深化“标准地”改革，</w:t>
      </w:r>
      <w:r>
        <w:rPr>
          <w:rFonts w:cs="Times New Roman"/>
          <w:color w:val="auto"/>
          <w:highlight w:val="none"/>
        </w:rPr>
        <w:t>保持工业用地100%全域标准地供地，</w:t>
      </w:r>
      <w:r>
        <w:rPr>
          <w:rFonts w:cs="Times New Roman"/>
          <w:bCs/>
          <w:color w:val="auto"/>
          <w:szCs w:val="32"/>
          <w:highlight w:val="none"/>
        </w:rPr>
        <w:t>健全“标准地”事中事后监管体系。</w:t>
      </w:r>
      <w:bookmarkStart w:id="176" w:name="_Toc31579"/>
      <w:bookmarkStart w:id="177" w:name="_Toc9867"/>
      <w:bookmarkStart w:id="178" w:name="_Toc22143"/>
      <w:bookmarkStart w:id="179" w:name="_Toc27127"/>
      <w:bookmarkStart w:id="180" w:name="_Toc23132"/>
      <w:r>
        <w:rPr>
          <w:rFonts w:cs="Times New Roman"/>
          <w:color w:val="auto"/>
          <w:highlight w:val="none"/>
        </w:rPr>
        <w:t>深化项目审批代办服务，充分发挥行政审批中心集聚众多审批职能部门的优势，以“妈妈式”服务助推企业加快项目前期审批。</w:t>
      </w:r>
    </w:p>
    <w:bookmarkEnd w:id="176"/>
    <w:bookmarkEnd w:id="177"/>
    <w:bookmarkEnd w:id="178"/>
    <w:bookmarkEnd w:id="179"/>
    <w:bookmarkEnd w:id="180"/>
    <w:p>
      <w:pPr>
        <w:widowControl/>
        <w:spacing w:line="580" w:lineRule="exact"/>
        <w:ind w:firstLine="658"/>
        <w:rPr>
          <w:rFonts w:cs="Times New Roman"/>
          <w:bCs/>
          <w:color w:val="auto"/>
          <w:szCs w:val="32"/>
          <w:highlight w:val="none"/>
        </w:rPr>
      </w:pPr>
      <w:r>
        <w:rPr>
          <w:rFonts w:cs="Times New Roman"/>
          <w:b/>
          <w:color w:val="auto"/>
          <w:szCs w:val="32"/>
          <w:highlight w:val="none"/>
        </w:rPr>
        <w:t>充分发挥财政资金撬动作用。</w:t>
      </w:r>
      <w:r>
        <w:rPr>
          <w:rFonts w:cs="Times New Roman"/>
          <w:bCs/>
          <w:color w:val="auto"/>
          <w:szCs w:val="32"/>
          <w:highlight w:val="none"/>
        </w:rPr>
        <w:t>探索建立政府投资带动民间投资的体制机制，更好有效带动民间投资。加强政府投资绩效管理水平，进一步调整优化财政支出结构，对必须由政府承担的纯公共领域加大资金争取，做好基本公共服务项目资金保障。积极采用先期政府投资+后期运营管理PPP模式，推进大型公共服务设施项目建设运营，以“市场化方式运营公益性项目”的理念，策划、设计项目的定位、招商引资思路、运营模式，提高项目运营质量，缓解财政支出压力。</w:t>
      </w:r>
    </w:p>
    <w:p>
      <w:pPr>
        <w:spacing w:line="580" w:lineRule="exact"/>
        <w:ind w:firstLine="658"/>
        <w:rPr>
          <w:rFonts w:cs="Times New Roman"/>
          <w:bCs/>
          <w:color w:val="auto"/>
          <w:szCs w:val="32"/>
          <w:highlight w:val="none"/>
        </w:rPr>
      </w:pPr>
      <w:r>
        <w:rPr>
          <w:rFonts w:cs="Times New Roman"/>
          <w:b/>
          <w:bCs/>
          <w:color w:val="auto"/>
          <w:highlight w:val="none"/>
        </w:rPr>
        <w:t>探索</w:t>
      </w:r>
      <w:r>
        <w:rPr>
          <w:rFonts w:cs="Times New Roman"/>
          <w:b/>
          <w:bCs/>
          <w:color w:val="auto"/>
          <w:szCs w:val="32"/>
          <w:highlight w:val="none"/>
        </w:rPr>
        <w:t>创新重大项目商业模式。</w:t>
      </w:r>
      <w:r>
        <w:rPr>
          <w:rFonts w:cs="Times New Roman"/>
          <w:bCs/>
          <w:color w:val="auto"/>
          <w:szCs w:val="32"/>
          <w:highlight w:val="none"/>
        </w:rPr>
        <w:t>支持重大非经营性项目与沿线或周边地区的旅游、物流、资源开发利用等经营类项</w:t>
      </w:r>
      <w:r>
        <w:rPr>
          <w:rFonts w:cs="Times New Roman"/>
          <w:bCs/>
          <w:color w:val="auto"/>
          <w:szCs w:val="32"/>
          <w:highlight w:val="none"/>
        </w:rPr>
        <w:t>目进行综合性、一体化开发，提高整个项目的投资回报水平，增强对社会投资者和银行、投资基金等金融机构的吸引力。</w:t>
      </w:r>
    </w:p>
    <w:p>
      <w:pPr>
        <w:widowControl/>
        <w:spacing w:line="580" w:lineRule="exact"/>
        <w:ind w:firstLine="655"/>
        <w:jc w:val="left"/>
        <w:outlineLvl w:val="1"/>
        <w:rPr>
          <w:rFonts w:eastAsia="楷体_GB2312" w:cs="Times New Roman"/>
          <w:bCs/>
          <w:color w:val="auto"/>
          <w:szCs w:val="32"/>
          <w:highlight w:val="none"/>
        </w:rPr>
      </w:pPr>
      <w:bookmarkStart w:id="181" w:name="_Toc14084"/>
      <w:bookmarkStart w:id="182" w:name="_Toc17341"/>
      <w:bookmarkStart w:id="183" w:name="_Toc5205"/>
      <w:bookmarkStart w:id="184" w:name="_Toc7609"/>
      <w:bookmarkStart w:id="185" w:name="_Toc2898"/>
      <w:bookmarkStart w:id="186" w:name="_Toc30046"/>
      <w:bookmarkStart w:id="187" w:name="_Toc25744"/>
      <w:r>
        <w:rPr>
          <w:rFonts w:eastAsia="楷体_GB2312" w:cs="Times New Roman"/>
          <w:bCs/>
          <w:color w:val="auto"/>
          <w:szCs w:val="32"/>
          <w:highlight w:val="none"/>
        </w:rPr>
        <w:t>（二）</w:t>
      </w:r>
      <w:bookmarkEnd w:id="181"/>
      <w:bookmarkEnd w:id="182"/>
      <w:r>
        <w:rPr>
          <w:rFonts w:eastAsia="楷体_GB2312" w:cs="Times New Roman"/>
          <w:bCs/>
          <w:color w:val="auto"/>
          <w:szCs w:val="32"/>
          <w:highlight w:val="none"/>
        </w:rPr>
        <w:t>充分发挥国资国企平台作用</w:t>
      </w:r>
      <w:bookmarkEnd w:id="183"/>
      <w:bookmarkEnd w:id="184"/>
      <w:bookmarkEnd w:id="185"/>
      <w:bookmarkEnd w:id="186"/>
      <w:bookmarkEnd w:id="187"/>
    </w:p>
    <w:p>
      <w:pPr>
        <w:spacing w:line="580" w:lineRule="exact"/>
        <w:ind w:firstLine="658"/>
        <w:jc w:val="left"/>
        <w:rPr>
          <w:rFonts w:cs="Times New Roman"/>
          <w:color w:val="auto"/>
          <w:szCs w:val="32"/>
          <w:highlight w:val="none"/>
        </w:rPr>
      </w:pPr>
      <w:r>
        <w:rPr>
          <w:rFonts w:cs="Times New Roman"/>
          <w:b/>
          <w:bCs/>
          <w:color w:val="auto"/>
          <w:szCs w:val="32"/>
          <w:highlight w:val="none"/>
        </w:rPr>
        <w:t>做大做强国资国企平台。</w:t>
      </w:r>
      <w:r>
        <w:rPr>
          <w:rFonts w:cs="Times New Roman"/>
          <w:color w:val="auto"/>
          <w:szCs w:val="32"/>
          <w:highlight w:val="none"/>
        </w:rPr>
        <w:t>持续向国企注入优质经营性资产，探索将矿产、砂土、林地等自然资源资产，以及其他收益权、经营权（如停车场、景区经营权）件确权给国有企业，提升企业营收能力。</w:t>
      </w:r>
      <w:r>
        <w:rPr>
          <w:rFonts w:cs="Times New Roman"/>
          <w:bCs/>
          <w:color w:val="auto"/>
          <w:szCs w:val="32"/>
          <w:highlight w:val="none"/>
        </w:rPr>
        <w:t>强力推进国有企业市场化改革，明确国有企业定位、提升项目管理能力、提高信用评级、拓展市场化业务，</w:t>
      </w:r>
      <w:r>
        <w:rPr>
          <w:rFonts w:cs="Times New Roman"/>
          <w:color w:val="auto"/>
          <w:szCs w:val="32"/>
          <w:highlight w:val="none"/>
        </w:rPr>
        <w:t>提升企业竞争力，</w:t>
      </w:r>
      <w:r>
        <w:rPr>
          <w:rFonts w:cs="Times New Roman"/>
          <w:bCs/>
          <w:color w:val="auto"/>
          <w:szCs w:val="32"/>
          <w:highlight w:val="none"/>
        </w:rPr>
        <w:t>拓宽企业盈利渠道。</w:t>
      </w:r>
    </w:p>
    <w:p>
      <w:pPr>
        <w:spacing w:line="580" w:lineRule="exact"/>
        <w:ind w:firstLine="658"/>
        <w:jc w:val="left"/>
        <w:rPr>
          <w:rFonts w:cs="Times New Roman"/>
          <w:color w:val="auto"/>
          <w:szCs w:val="32"/>
          <w:highlight w:val="none"/>
        </w:rPr>
      </w:pPr>
      <w:r>
        <w:rPr>
          <w:rFonts w:cs="Times New Roman"/>
          <w:b/>
          <w:bCs/>
          <w:color w:val="auto"/>
          <w:szCs w:val="32"/>
          <w:highlight w:val="none"/>
        </w:rPr>
        <w:t>鼓励国企承担公共建设。</w:t>
      </w:r>
      <w:r>
        <w:rPr>
          <w:rFonts w:cs="Times New Roman"/>
          <w:bCs/>
          <w:color w:val="auto"/>
          <w:szCs w:val="32"/>
          <w:highlight w:val="none"/>
        </w:rPr>
        <w:t>充分发挥国企在重大项目投资建设、城市综合运营和公共资源整合运营等方面的主体作用，推动基础设施和公共服务领域供给侧结构性改革。</w:t>
      </w:r>
      <w:r>
        <w:rPr>
          <w:rFonts w:cs="Times New Roman"/>
          <w:color w:val="auto"/>
          <w:szCs w:val="32"/>
          <w:highlight w:val="none"/>
        </w:rPr>
        <w:t>支持改制国企全力干好主业，高质量、高标准开展政府委托代建服务。</w:t>
      </w:r>
    </w:p>
    <w:p>
      <w:pPr>
        <w:spacing w:line="580" w:lineRule="exact"/>
        <w:ind w:firstLine="658"/>
        <w:rPr>
          <w:rFonts w:cs="Times New Roman"/>
          <w:color w:val="auto"/>
          <w:szCs w:val="32"/>
          <w:highlight w:val="none"/>
        </w:rPr>
      </w:pPr>
      <w:r>
        <w:rPr>
          <w:rFonts w:cs="Times New Roman"/>
          <w:b/>
          <w:color w:val="auto"/>
          <w:szCs w:val="32"/>
          <w:highlight w:val="none"/>
        </w:rPr>
        <w:t>探索与社会资本合作模式。</w:t>
      </w:r>
      <w:r>
        <w:rPr>
          <w:rFonts w:cs="Times New Roman"/>
          <w:color w:val="auto"/>
          <w:szCs w:val="32"/>
          <w:highlight w:val="none"/>
        </w:rPr>
        <w:t>在城市基础设施建设、公共服务、环境治理等领域探索混合所有制模式，通过实现投资主体多元化、经营机制市场化，放大国有资本作用。</w:t>
      </w:r>
    </w:p>
    <w:p>
      <w:pPr>
        <w:widowControl/>
        <w:spacing w:line="580" w:lineRule="exact"/>
        <w:ind w:firstLine="655"/>
        <w:jc w:val="left"/>
        <w:outlineLvl w:val="1"/>
        <w:rPr>
          <w:rFonts w:eastAsia="楷体_GB2312" w:cs="Times New Roman"/>
          <w:bCs/>
          <w:color w:val="auto"/>
          <w:szCs w:val="32"/>
          <w:highlight w:val="none"/>
        </w:rPr>
      </w:pPr>
      <w:bookmarkStart w:id="188" w:name="_Toc6830"/>
      <w:bookmarkStart w:id="189" w:name="_Toc30165"/>
      <w:bookmarkStart w:id="190" w:name="_Toc18951"/>
      <w:bookmarkStart w:id="191" w:name="_Toc7896"/>
      <w:bookmarkStart w:id="192" w:name="_Toc31855"/>
      <w:bookmarkStart w:id="193" w:name="_Toc16079"/>
      <w:bookmarkStart w:id="194" w:name="_Toc22298"/>
      <w:r>
        <w:rPr>
          <w:rFonts w:eastAsia="楷体_GB2312" w:cs="Times New Roman"/>
          <w:bCs/>
          <w:color w:val="auto"/>
          <w:szCs w:val="32"/>
          <w:highlight w:val="none"/>
        </w:rPr>
        <w:t>（三）</w:t>
      </w:r>
      <w:bookmarkEnd w:id="188"/>
      <w:bookmarkEnd w:id="189"/>
      <w:r>
        <w:rPr>
          <w:rFonts w:eastAsia="楷体_GB2312" w:cs="Times New Roman"/>
          <w:bCs/>
          <w:color w:val="auto"/>
          <w:szCs w:val="32"/>
          <w:highlight w:val="none"/>
        </w:rPr>
        <w:t>创新“双招双引”策略</w:t>
      </w:r>
      <w:bookmarkEnd w:id="190"/>
      <w:bookmarkEnd w:id="191"/>
      <w:bookmarkEnd w:id="192"/>
      <w:bookmarkEnd w:id="193"/>
      <w:bookmarkEnd w:id="194"/>
    </w:p>
    <w:p>
      <w:pPr>
        <w:pStyle w:val="11"/>
        <w:spacing w:after="0" w:line="580" w:lineRule="exact"/>
        <w:ind w:firstLine="658"/>
        <w:rPr>
          <w:rFonts w:cs="Times New Roman"/>
          <w:color w:val="auto"/>
          <w:szCs w:val="32"/>
          <w:highlight w:val="none"/>
        </w:rPr>
      </w:pPr>
      <w:r>
        <w:rPr>
          <w:rFonts w:cs="Times New Roman"/>
          <w:b/>
          <w:bCs/>
          <w:color w:val="auto"/>
          <w:szCs w:val="32"/>
          <w:highlight w:val="none"/>
        </w:rPr>
        <w:t>锚定招商主攻方向。</w:t>
      </w:r>
      <w:r>
        <w:rPr>
          <w:rFonts w:cs="Times New Roman"/>
          <w:color w:val="auto"/>
          <w:szCs w:val="32"/>
          <w:highlight w:val="none"/>
        </w:rPr>
        <w:t>围绕产业“扩补强”，招引一批高精尖的产业配套关联项目，推动产业转型升级。围绕农文旅产业融合，招引一批现代农业、农旅融合、旅游康养、文化创意等特色产业。围绕城市功能补短，招引一批商业、文旅综合体、专业类市场、教育产业提升等城市功能配套项目。围绕新兴业态培育，招引一批健康医药、大数据、区块链、云计算、研发经济、总部经济等新业态。</w:t>
      </w:r>
    </w:p>
    <w:p>
      <w:pPr>
        <w:spacing w:line="580" w:lineRule="exact"/>
        <w:ind w:firstLine="658"/>
        <w:rPr>
          <w:rFonts w:cs="Times New Roman"/>
          <w:bCs/>
          <w:color w:val="auto"/>
          <w:szCs w:val="32"/>
          <w:highlight w:val="none"/>
        </w:rPr>
      </w:pPr>
      <w:r>
        <w:rPr>
          <w:rFonts w:cs="Times New Roman"/>
          <w:b/>
          <w:bCs/>
          <w:color w:val="auto"/>
          <w:szCs w:val="32"/>
          <w:highlight w:val="none"/>
        </w:rPr>
        <w:t>探索创新招引策略。</w:t>
      </w:r>
      <w:r>
        <w:rPr>
          <w:rFonts w:cs="Times New Roman"/>
          <w:color w:val="auto"/>
          <w:szCs w:val="32"/>
          <w:highlight w:val="none"/>
        </w:rPr>
        <w:t>探索推进资本招商，通过设立产业项目绿色专项贴息资金、重大项目达产奖励资金等方式，为产业投资人提供股权投资、低息贷款、担保抵押等“资本”类服务，吸引重大产业项目来云和投资。</w:t>
      </w:r>
      <w:r>
        <w:rPr>
          <w:rFonts w:cs="Times New Roman"/>
          <w:bCs/>
          <w:color w:val="auto"/>
          <w:szCs w:val="32"/>
          <w:highlight w:val="none"/>
        </w:rPr>
        <w:t>探索推进精准招商，</w:t>
      </w:r>
      <w:r>
        <w:rPr>
          <w:rFonts w:cs="Times New Roman"/>
          <w:color w:val="auto"/>
          <w:szCs w:val="32"/>
          <w:highlight w:val="none"/>
          <w:lang w:bidi="ar"/>
        </w:rPr>
        <w:t>制定全县招商引资指导目标，编制招商引资重点项目目录。</w:t>
      </w:r>
      <w:r>
        <w:rPr>
          <w:rFonts w:cs="Times New Roman"/>
          <w:bCs/>
          <w:color w:val="auto"/>
          <w:szCs w:val="32"/>
          <w:highlight w:val="none"/>
        </w:rPr>
        <w:t>鼓励社会化招商，主动对接筛选市场意识强、技术精、视野宽、路子广的中介机构，通过签订战略合作协议或委托书的方式，建立正式、稳固的战略合作关系。</w:t>
      </w:r>
      <w:r>
        <w:rPr>
          <w:rFonts w:cs="Times New Roman"/>
          <w:color w:val="auto"/>
          <w:szCs w:val="32"/>
          <w:highlight w:val="none"/>
          <w:lang w:bidi="ar"/>
        </w:rPr>
        <w:t>用活招引方法，</w:t>
      </w:r>
      <w:r>
        <w:rPr>
          <w:rFonts w:cs="Times New Roman"/>
          <w:bCs/>
          <w:color w:val="auto"/>
          <w:szCs w:val="32"/>
          <w:highlight w:val="none"/>
        </w:rPr>
        <w:t>强化产业链招商、基金招商、总部招商、飞地招商等。</w:t>
      </w:r>
    </w:p>
    <w:p>
      <w:pPr>
        <w:widowControl/>
        <w:spacing w:line="580" w:lineRule="exact"/>
        <w:ind w:firstLine="655"/>
        <w:jc w:val="left"/>
        <w:outlineLvl w:val="1"/>
        <w:rPr>
          <w:rFonts w:eastAsia="楷体_GB2312" w:cs="Times New Roman"/>
          <w:bCs/>
          <w:color w:val="auto"/>
          <w:szCs w:val="32"/>
          <w:highlight w:val="none"/>
        </w:rPr>
      </w:pPr>
      <w:bookmarkStart w:id="195" w:name="_Toc5061"/>
      <w:bookmarkStart w:id="196" w:name="_Toc7275"/>
      <w:bookmarkStart w:id="197" w:name="_Toc7954"/>
      <w:bookmarkStart w:id="198" w:name="_Toc12065"/>
      <w:bookmarkStart w:id="199" w:name="_Toc9841"/>
      <w:bookmarkStart w:id="200" w:name="_Toc13952"/>
      <w:bookmarkStart w:id="201" w:name="_Toc4147"/>
      <w:r>
        <w:rPr>
          <w:rFonts w:eastAsia="楷体_GB2312" w:cs="Times New Roman"/>
          <w:bCs/>
          <w:color w:val="auto"/>
          <w:szCs w:val="32"/>
          <w:highlight w:val="none"/>
        </w:rPr>
        <w:t>（四）优化投资营商环境</w:t>
      </w:r>
      <w:bookmarkEnd w:id="195"/>
      <w:bookmarkEnd w:id="196"/>
      <w:bookmarkEnd w:id="197"/>
      <w:bookmarkEnd w:id="198"/>
      <w:bookmarkEnd w:id="199"/>
      <w:bookmarkEnd w:id="200"/>
      <w:bookmarkEnd w:id="201"/>
    </w:p>
    <w:p>
      <w:pPr>
        <w:spacing w:line="580" w:lineRule="exact"/>
        <w:ind w:firstLine="658"/>
        <w:rPr>
          <w:rFonts w:cs="Times New Roman"/>
          <w:color w:val="auto"/>
          <w:szCs w:val="32"/>
          <w:highlight w:val="none"/>
        </w:rPr>
      </w:pPr>
      <w:r>
        <w:rPr>
          <w:rFonts w:cs="Times New Roman"/>
          <w:b/>
          <w:bCs/>
          <w:color w:val="auto"/>
          <w:szCs w:val="32"/>
          <w:highlight w:val="none"/>
        </w:rPr>
        <w:t>进一步优化政务服务。</w:t>
      </w:r>
      <w:r>
        <w:rPr>
          <w:rFonts w:cs="Times New Roman"/>
          <w:color w:val="auto"/>
          <w:szCs w:val="32"/>
          <w:highlight w:val="none"/>
        </w:rPr>
        <w:t>以优化营商环境10+N行动为突破口，进一步缩减办理时间、简化办理流程，提升企业开办、建筑许可、获得电力、获得用水用气等事项办理便捷度，强化企业全生命周期服务。加强审批流程标准化建设，进一步推进流程清晰、要素固定、权责明确的标准化审批，全面实施“区域能评+区块能耗标准”“区域环评+环境标准”。推动企业降本减负，实质性降低企业税费，减轻企业用地、用电、用能、用人、物流等刚性成本，确保企业轻装上阵。建立银企充分对接的金融服务信用信息平台，努力解决企业融资难题，打通企业融资“最后一公里”。</w:t>
      </w:r>
    </w:p>
    <w:p>
      <w:pPr>
        <w:spacing w:line="580" w:lineRule="exact"/>
        <w:ind w:firstLine="658"/>
        <w:rPr>
          <w:rFonts w:cs="Times New Roman"/>
          <w:b/>
          <w:bCs/>
          <w:color w:val="auto"/>
          <w:szCs w:val="32"/>
          <w:highlight w:val="none"/>
        </w:rPr>
      </w:pPr>
      <w:r>
        <w:rPr>
          <w:rFonts w:cs="Times New Roman"/>
          <w:b/>
          <w:color w:val="auto"/>
          <w:szCs w:val="32"/>
          <w:highlight w:val="none"/>
        </w:rPr>
        <w:t>深化政府数字化改革</w:t>
      </w:r>
      <w:r>
        <w:rPr>
          <w:rFonts w:cs="Times New Roman"/>
          <w:color w:val="auto"/>
          <w:szCs w:val="32"/>
          <w:highlight w:val="none"/>
        </w:rPr>
        <w:t>。持续推进投资项目在线审批监管平台应用，不断提高项目线上审批、线上监测、线上服务水平；加快县本级投资项目综合管理平台及重大项目数字监管平台的建设和应用，推广项目谋划储备、计划申报、进度调度、监管巡查、问题协调的线上操作，逐步实现投资项目全口径监测网络化。</w:t>
      </w:r>
    </w:p>
    <w:p>
      <w:pPr>
        <w:spacing w:line="580" w:lineRule="exact"/>
        <w:ind w:firstLine="655"/>
        <w:outlineLvl w:val="0"/>
        <w:rPr>
          <w:rFonts w:eastAsia="黑体" w:cs="Times New Roman"/>
          <w:color w:val="auto"/>
          <w:szCs w:val="32"/>
          <w:highlight w:val="none"/>
        </w:rPr>
      </w:pPr>
      <w:bookmarkStart w:id="202" w:name="_Toc11487"/>
      <w:bookmarkStart w:id="203" w:name="_Toc24396"/>
      <w:bookmarkStart w:id="204" w:name="_Toc13641"/>
      <w:bookmarkStart w:id="205" w:name="_Toc31099"/>
      <w:bookmarkStart w:id="206" w:name="_Toc28743"/>
      <w:bookmarkStart w:id="207" w:name="_Toc30466"/>
      <w:bookmarkStart w:id="208" w:name="_Toc32275"/>
      <w:bookmarkStart w:id="209" w:name="_Toc458795862"/>
      <w:r>
        <w:rPr>
          <w:rFonts w:eastAsia="黑体" w:cs="Times New Roman"/>
          <w:color w:val="auto"/>
          <w:szCs w:val="32"/>
          <w:highlight w:val="none"/>
        </w:rPr>
        <w:t>六、保障措施</w:t>
      </w:r>
      <w:bookmarkEnd w:id="202"/>
      <w:bookmarkEnd w:id="203"/>
      <w:bookmarkEnd w:id="204"/>
      <w:bookmarkEnd w:id="205"/>
      <w:bookmarkEnd w:id="206"/>
      <w:bookmarkEnd w:id="207"/>
      <w:bookmarkEnd w:id="208"/>
      <w:bookmarkEnd w:id="209"/>
    </w:p>
    <w:p>
      <w:pPr>
        <w:widowControl/>
        <w:spacing w:line="580" w:lineRule="exact"/>
        <w:ind w:firstLine="655"/>
        <w:jc w:val="left"/>
        <w:outlineLvl w:val="1"/>
        <w:rPr>
          <w:rFonts w:eastAsia="楷体_GB2312" w:cs="Times New Roman"/>
          <w:bCs/>
          <w:color w:val="auto"/>
          <w:szCs w:val="32"/>
          <w:highlight w:val="none"/>
        </w:rPr>
      </w:pPr>
      <w:bookmarkStart w:id="210" w:name="_Toc441482034"/>
      <w:bookmarkStart w:id="211" w:name="_Toc14530"/>
      <w:bookmarkStart w:id="212" w:name="_Toc458795863"/>
      <w:bookmarkStart w:id="213" w:name="_Toc9493"/>
      <w:bookmarkStart w:id="214" w:name="_Toc14935"/>
      <w:bookmarkStart w:id="215" w:name="_Toc258"/>
      <w:r>
        <w:rPr>
          <w:rFonts w:eastAsia="楷体_GB2312" w:cs="Times New Roman"/>
          <w:bCs/>
          <w:color w:val="auto"/>
          <w:szCs w:val="32"/>
          <w:highlight w:val="none"/>
        </w:rPr>
        <w:t>（一）</w:t>
      </w:r>
      <w:bookmarkEnd w:id="210"/>
      <w:r>
        <w:rPr>
          <w:rFonts w:eastAsia="楷体_GB2312" w:cs="Times New Roman"/>
          <w:bCs/>
          <w:color w:val="auto"/>
          <w:szCs w:val="32"/>
          <w:highlight w:val="none"/>
        </w:rPr>
        <w:t>加强组织协调</w:t>
      </w:r>
      <w:bookmarkEnd w:id="211"/>
      <w:bookmarkEnd w:id="212"/>
      <w:bookmarkEnd w:id="213"/>
      <w:bookmarkEnd w:id="214"/>
      <w:bookmarkEnd w:id="215"/>
    </w:p>
    <w:p>
      <w:pPr>
        <w:spacing w:line="580" w:lineRule="exact"/>
        <w:ind w:firstLine="655"/>
        <w:jc w:val="left"/>
        <w:rPr>
          <w:rFonts w:cs="Times New Roman"/>
          <w:color w:val="auto"/>
          <w:szCs w:val="32"/>
          <w:highlight w:val="none"/>
        </w:rPr>
      </w:pPr>
      <w:r>
        <w:rPr>
          <w:rFonts w:cs="Times New Roman"/>
          <w:color w:val="auto"/>
          <w:szCs w:val="32"/>
          <w:highlight w:val="none"/>
        </w:rPr>
        <w:t>突出“十四五”扩大有效投资和谋划推进重大项目工作的重要地位，建立以各相关职能部门为项目服务责任主体，以业主单位作为项目实施责任主体的协调机制。</w:t>
      </w:r>
      <w:r>
        <w:rPr>
          <w:rFonts w:cs="Times New Roman"/>
          <w:color w:val="auto"/>
          <w:szCs w:val="32"/>
          <w:highlight w:val="none"/>
        </w:rPr>
        <w:t>定期召开项目建设协调会，及时沟通项目建设进展情况。各部门要认真履行职能，通力合作，做好政策处理、项目报批等工作，共同完善投资项目实施过程中的管理协调工作。</w:t>
      </w:r>
    </w:p>
    <w:p>
      <w:pPr>
        <w:widowControl/>
        <w:spacing w:line="580" w:lineRule="exact"/>
        <w:ind w:firstLine="655"/>
        <w:jc w:val="left"/>
        <w:outlineLvl w:val="1"/>
        <w:rPr>
          <w:rFonts w:eastAsia="楷体_GB2312" w:cs="Times New Roman"/>
          <w:bCs/>
          <w:color w:val="auto"/>
          <w:szCs w:val="32"/>
          <w:highlight w:val="none"/>
        </w:rPr>
      </w:pPr>
      <w:bookmarkStart w:id="216" w:name="_Toc25926"/>
      <w:bookmarkStart w:id="217" w:name="_Toc2634"/>
      <w:bookmarkStart w:id="218" w:name="_Toc2446"/>
      <w:bookmarkStart w:id="219" w:name="_Toc458795866"/>
      <w:bookmarkStart w:id="220" w:name="_Toc29478"/>
      <w:r>
        <w:rPr>
          <w:rFonts w:eastAsia="楷体_GB2312" w:cs="Times New Roman"/>
          <w:bCs/>
          <w:color w:val="auto"/>
          <w:szCs w:val="32"/>
          <w:highlight w:val="none"/>
        </w:rPr>
        <w:t>（二）强化要素保障</w:t>
      </w:r>
      <w:bookmarkEnd w:id="216"/>
      <w:bookmarkEnd w:id="217"/>
      <w:bookmarkEnd w:id="218"/>
      <w:bookmarkEnd w:id="219"/>
      <w:bookmarkEnd w:id="220"/>
    </w:p>
    <w:p>
      <w:pPr>
        <w:spacing w:line="580" w:lineRule="exact"/>
        <w:ind w:firstLine="655"/>
        <w:rPr>
          <w:rFonts w:cs="Times New Roman"/>
          <w:color w:val="auto"/>
          <w:highlight w:val="none"/>
        </w:rPr>
      </w:pPr>
      <w:r>
        <w:rPr>
          <w:rFonts w:cs="Times New Roman"/>
          <w:color w:val="auto"/>
          <w:szCs w:val="32"/>
          <w:highlight w:val="none"/>
        </w:rPr>
        <w:t>用地保障方面</w:t>
      </w:r>
      <w:r>
        <w:rPr>
          <w:rFonts w:cs="Times New Roman"/>
          <w:color w:val="auto"/>
          <w:szCs w:val="32"/>
          <w:highlight w:val="none"/>
        </w:rPr>
        <w:t>，按照“要素跟着项目走”的要求，加大用地保障力度，推动重大项目落地实施。构建“多规合一”国土空间规划体系，形成国土空间规划“一张底图”。全面推行“五未”土地处置专项行动，强化土地的节约集约利用和低效用地的二次开发，有效提高土地的使用效率。</w:t>
      </w:r>
      <w:r>
        <w:rPr>
          <w:rFonts w:cs="Times New Roman"/>
          <w:color w:val="auto"/>
          <w:highlight w:val="none"/>
        </w:rPr>
        <w:t>创新土地供应模式，探索开展分功能区块供地等模式供地，针对多用途的项目，灵活采取控制主用途建设比例进行复合宗供地，提升土地利用的精细化、精准化、集约化程度。资金保障方面，拓宽资金筹措渠道。加强向上对接，全力争取中央预算内等上级补助资金支持。</w:t>
      </w:r>
      <w:r>
        <w:rPr>
          <w:rFonts w:cs="Times New Roman"/>
          <w:bCs/>
          <w:color w:val="auto"/>
          <w:szCs w:val="32"/>
          <w:highlight w:val="none"/>
        </w:rPr>
        <w:t>稳健开展债券融资工作，结合项目实施条件，充实发债项目滚动储备库，积极做好项目前期工作，特别是对于生态环保、城市公共停车场、公立医院等政策支持项目，要积极把握政策窗口期，将专项债资金用好用足，更好地发挥效益。探索存量盘活变现机制，采用不动产投资信托基金（REITs）等方式盘活变现存量资产，将净回收资金主要用于新增投资。</w:t>
      </w:r>
    </w:p>
    <w:p>
      <w:pPr>
        <w:widowControl/>
        <w:numPr>
          <w:ilvl w:val="255"/>
          <w:numId w:val="0"/>
        </w:numPr>
        <w:spacing w:line="580" w:lineRule="exact"/>
        <w:ind w:firstLine="654" w:firstLineChars="200"/>
        <w:jc w:val="left"/>
        <w:outlineLvl w:val="1"/>
        <w:rPr>
          <w:rFonts w:eastAsia="楷体_GB2312" w:cs="Times New Roman"/>
          <w:bCs/>
          <w:color w:val="auto"/>
          <w:szCs w:val="32"/>
          <w:highlight w:val="none"/>
        </w:rPr>
      </w:pPr>
      <w:bookmarkStart w:id="221" w:name="_Toc8805"/>
      <w:bookmarkStart w:id="222" w:name="_Toc30000"/>
      <w:bookmarkStart w:id="223" w:name="_Toc441482038"/>
      <w:bookmarkStart w:id="224" w:name="_Toc458795868"/>
      <w:bookmarkStart w:id="225" w:name="_Toc29732"/>
      <w:bookmarkStart w:id="226" w:name="_Toc6454"/>
      <w:r>
        <w:rPr>
          <w:rFonts w:eastAsia="楷体_GB2312" w:cs="Times New Roman"/>
          <w:bCs/>
          <w:color w:val="auto"/>
          <w:szCs w:val="32"/>
          <w:highlight w:val="none"/>
        </w:rPr>
        <w:t>（三）加强考核监督</w:t>
      </w:r>
      <w:bookmarkEnd w:id="221"/>
      <w:bookmarkEnd w:id="222"/>
      <w:bookmarkEnd w:id="223"/>
      <w:bookmarkEnd w:id="224"/>
      <w:bookmarkEnd w:id="225"/>
      <w:bookmarkEnd w:id="226"/>
    </w:p>
    <w:p>
      <w:pPr>
        <w:spacing w:line="580" w:lineRule="exact"/>
        <w:ind w:firstLine="655"/>
        <w:jc w:val="left"/>
        <w:rPr>
          <w:rFonts w:eastAsia="楷体_GB2312" w:cs="Times New Roman"/>
          <w:b/>
          <w:color w:val="auto"/>
          <w:szCs w:val="32"/>
          <w:highlight w:val="none"/>
        </w:rPr>
      </w:pPr>
      <w:r>
        <w:rPr>
          <w:rFonts w:cs="Times New Roman"/>
          <w:color w:val="auto"/>
          <w:szCs w:val="32"/>
          <w:highlight w:val="none"/>
        </w:rPr>
        <w:t>完善责任落实，分解五年项目任务，确定年度行动计划，细化时间表、任务表、项目表，明确各个环节责任，按照方案、标准、时间节点，高质量全面完成。充分发挥考核的杠杆作用，按照“对象全覆盖、过程全跟踪、结果全考核”的原则，进一步细化和完善关于投资的责任考核体系，更加注重对贡献率、投资结构、投资质量、投资工作的综合考评，并围绕签约、履约、开工、投产四个阶段的推进情况进行分类考核，以确保项目顺利有序推进。健全有效投资结果与奖惩挂钩机制，明确将考核的结果作为衡量单位、个人绩效的基本指标之一，以确保人人肩上有责任，形成全员抓项目、抓投资的浓厚氛围。</w:t>
      </w:r>
    </w:p>
    <w:p>
      <w:pPr>
        <w:spacing w:line="580" w:lineRule="exact"/>
        <w:ind w:firstLine="655"/>
        <w:rPr>
          <w:rFonts w:cs="Times New Roman"/>
          <w:color w:val="auto"/>
          <w:highlight w:val="none"/>
        </w:rPr>
      </w:pPr>
    </w:p>
    <w:p>
      <w:pPr>
        <w:ind w:firstLine="655"/>
        <w:rPr>
          <w:rFonts w:cs="Times New Roman"/>
          <w:color w:val="auto"/>
          <w:highlight w:val="none"/>
        </w:rPr>
        <w:sectPr>
          <w:footerReference r:id="rId11" w:type="default"/>
          <w:pgSz w:w="11906" w:h="16838"/>
          <w:pgMar w:top="1440" w:right="1803" w:bottom="1440" w:left="1803" w:header="851" w:footer="1417" w:gutter="0"/>
          <w:pgNumType w:start="1"/>
          <w:cols w:space="0" w:num="1"/>
          <w:docGrid w:type="linesAndChars" w:linePitch="439" w:charSpace="1554"/>
        </w:sectPr>
      </w:pPr>
    </w:p>
    <w:p>
      <w:pPr>
        <w:pStyle w:val="11"/>
        <w:spacing w:after="0"/>
        <w:ind w:firstLine="0" w:firstLineChars="0"/>
        <w:outlineLvl w:val="0"/>
        <w:rPr>
          <w:rFonts w:cs="Times New Roman"/>
          <w:color w:val="auto"/>
          <w:highlight w:val="none"/>
        </w:rPr>
      </w:pPr>
      <w:bookmarkStart w:id="227" w:name="_Toc2340"/>
      <w:bookmarkStart w:id="228" w:name="_Toc13974"/>
      <w:bookmarkStart w:id="229" w:name="_Toc14853"/>
      <w:bookmarkStart w:id="230" w:name="_Toc24806"/>
      <w:bookmarkStart w:id="231" w:name="_Toc16304"/>
      <w:r>
        <w:rPr>
          <w:rFonts w:cs="Times New Roman"/>
          <w:color w:val="auto"/>
          <w:highlight w:val="none"/>
        </w:rPr>
        <w:t>附件1</w:t>
      </w:r>
      <w:bookmarkEnd w:id="227"/>
      <w:bookmarkEnd w:id="228"/>
      <w:bookmarkEnd w:id="229"/>
      <w:bookmarkEnd w:id="230"/>
      <w:bookmarkEnd w:id="231"/>
    </w:p>
    <w:p>
      <w:pPr>
        <w:spacing w:line="580" w:lineRule="exact"/>
        <w:ind w:firstLine="0" w:firstLineChars="0"/>
        <w:jc w:val="center"/>
        <w:rPr>
          <w:rFonts w:eastAsia="黑体" w:cs="Times New Roman"/>
          <w:color w:val="auto"/>
          <w:sz w:val="28"/>
          <w:szCs w:val="28"/>
          <w:highlight w:val="none"/>
        </w:rPr>
      </w:pPr>
      <w:r>
        <w:rPr>
          <w:rFonts w:eastAsia="黑体" w:cs="Times New Roman"/>
          <w:color w:val="auto"/>
          <w:sz w:val="28"/>
          <w:szCs w:val="28"/>
          <w:highlight w:val="none"/>
        </w:rPr>
        <w:t>“十四五”期间云和扩大有效投资汇总表</w:t>
      </w:r>
    </w:p>
    <w:tbl>
      <w:tblPr>
        <w:tblStyle w:val="23"/>
        <w:tblW w:w="4997" w:type="pct"/>
        <w:jc w:val="center"/>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Layout w:type="autofit"/>
        <w:tblCellMar>
          <w:top w:w="57" w:type="dxa"/>
          <w:left w:w="108" w:type="dxa"/>
          <w:bottom w:w="57" w:type="dxa"/>
          <w:right w:w="108" w:type="dxa"/>
        </w:tblCellMar>
      </w:tblPr>
      <w:tblGrid>
        <w:gridCol w:w="1079"/>
        <w:gridCol w:w="2344"/>
        <w:gridCol w:w="1609"/>
        <w:gridCol w:w="1810"/>
        <w:gridCol w:w="2214"/>
      </w:tblGrid>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505" w:hRule="atLeast"/>
          <w:tblHeader/>
          <w:jc w:val="center"/>
        </w:trPr>
        <w:tc>
          <w:tcPr>
            <w:tcW w:w="595" w:type="pct"/>
            <w:tcBorders>
              <w:top w:val="single" w:color="000000" w:sz="12" w:space="0"/>
              <w:bottom w:val="single" w:color="000000" w:sz="12" w:space="0"/>
              <w:tl2br w:val="nil"/>
              <w:tr2bl w:val="nil"/>
            </w:tcBorders>
            <w:vAlign w:val="center"/>
          </w:tcPr>
          <w:p>
            <w:pPr>
              <w:widowControl/>
              <w:spacing w:line="240" w:lineRule="auto"/>
              <w:ind w:firstLine="0" w:firstLineChars="0"/>
              <w:jc w:val="center"/>
              <w:rPr>
                <w:rFonts w:cs="Times New Roman"/>
                <w:b/>
                <w:bCs/>
                <w:color w:val="auto"/>
                <w:kern w:val="0"/>
                <w:sz w:val="28"/>
                <w:szCs w:val="28"/>
                <w:highlight w:val="none"/>
              </w:rPr>
            </w:pPr>
            <w:r>
              <w:rPr>
                <w:rFonts w:cs="Times New Roman"/>
                <w:b/>
                <w:bCs/>
                <w:color w:val="auto"/>
                <w:kern w:val="0"/>
                <w:sz w:val="28"/>
                <w:szCs w:val="28"/>
                <w:highlight w:val="none"/>
              </w:rPr>
              <w:t>序号</w:t>
            </w:r>
          </w:p>
        </w:tc>
        <w:tc>
          <w:tcPr>
            <w:tcW w:w="1293" w:type="pct"/>
            <w:tcBorders>
              <w:top w:val="single" w:color="000000" w:sz="12" w:space="0"/>
              <w:bottom w:val="single" w:color="000000" w:sz="12" w:space="0"/>
              <w:tl2br w:val="nil"/>
              <w:tr2bl w:val="nil"/>
            </w:tcBorders>
            <w:vAlign w:val="center"/>
          </w:tcPr>
          <w:p>
            <w:pPr>
              <w:widowControl/>
              <w:spacing w:line="240" w:lineRule="auto"/>
              <w:ind w:firstLine="0" w:firstLineChars="0"/>
              <w:jc w:val="center"/>
              <w:rPr>
                <w:rFonts w:cs="Times New Roman"/>
                <w:b/>
                <w:bCs/>
                <w:color w:val="auto"/>
                <w:kern w:val="0"/>
                <w:sz w:val="28"/>
                <w:szCs w:val="28"/>
                <w:highlight w:val="none"/>
              </w:rPr>
            </w:pPr>
            <w:r>
              <w:rPr>
                <w:rFonts w:cs="Times New Roman"/>
                <w:b/>
                <w:bCs/>
                <w:color w:val="auto"/>
                <w:kern w:val="0"/>
                <w:sz w:val="28"/>
                <w:szCs w:val="28"/>
                <w:highlight w:val="none"/>
              </w:rPr>
              <w:t>项目类别</w:t>
            </w:r>
          </w:p>
        </w:tc>
        <w:tc>
          <w:tcPr>
            <w:tcW w:w="888" w:type="pct"/>
            <w:tcBorders>
              <w:top w:val="single" w:color="000000" w:sz="12" w:space="0"/>
              <w:bottom w:val="single" w:color="000000" w:sz="12" w:space="0"/>
              <w:tl2br w:val="nil"/>
              <w:tr2bl w:val="nil"/>
            </w:tcBorders>
            <w:vAlign w:val="center"/>
          </w:tcPr>
          <w:p>
            <w:pPr>
              <w:widowControl/>
              <w:spacing w:line="240" w:lineRule="auto"/>
              <w:ind w:firstLine="0" w:firstLineChars="0"/>
              <w:rPr>
                <w:rFonts w:cs="Times New Roman"/>
                <w:b/>
                <w:bCs/>
                <w:color w:val="auto"/>
                <w:kern w:val="0"/>
                <w:sz w:val="28"/>
                <w:szCs w:val="28"/>
                <w:highlight w:val="none"/>
              </w:rPr>
            </w:pPr>
            <w:r>
              <w:rPr>
                <w:rFonts w:cs="Times New Roman"/>
                <w:b/>
                <w:bCs/>
                <w:color w:val="auto"/>
                <w:kern w:val="0"/>
                <w:sz w:val="28"/>
                <w:szCs w:val="28"/>
                <w:highlight w:val="none"/>
              </w:rPr>
              <w:t>项目数量（个）</w:t>
            </w:r>
          </w:p>
        </w:tc>
        <w:tc>
          <w:tcPr>
            <w:tcW w:w="999" w:type="pct"/>
            <w:tcBorders>
              <w:top w:val="single" w:color="000000" w:sz="12" w:space="0"/>
              <w:bottom w:val="single" w:color="000000" w:sz="12" w:space="0"/>
              <w:tl2br w:val="nil"/>
              <w:tr2bl w:val="nil"/>
            </w:tcBorders>
            <w:vAlign w:val="center"/>
          </w:tcPr>
          <w:p>
            <w:pPr>
              <w:widowControl/>
              <w:spacing w:line="240" w:lineRule="auto"/>
              <w:ind w:firstLine="0" w:firstLineChars="0"/>
              <w:jc w:val="center"/>
              <w:rPr>
                <w:rFonts w:cs="Times New Roman"/>
                <w:b/>
                <w:bCs/>
                <w:color w:val="auto"/>
                <w:kern w:val="0"/>
                <w:sz w:val="28"/>
                <w:szCs w:val="28"/>
                <w:highlight w:val="none"/>
              </w:rPr>
            </w:pPr>
            <w:r>
              <w:rPr>
                <w:rFonts w:cs="Times New Roman"/>
                <w:b/>
                <w:bCs/>
                <w:color w:val="auto"/>
                <w:kern w:val="0"/>
                <w:sz w:val="28"/>
                <w:szCs w:val="28"/>
                <w:highlight w:val="none"/>
              </w:rPr>
              <w:t>总投资</w:t>
            </w:r>
          </w:p>
          <w:p>
            <w:pPr>
              <w:widowControl/>
              <w:spacing w:line="240" w:lineRule="auto"/>
              <w:ind w:firstLine="0" w:firstLineChars="0"/>
              <w:jc w:val="center"/>
              <w:rPr>
                <w:rFonts w:cs="Times New Roman"/>
                <w:b/>
                <w:bCs/>
                <w:color w:val="auto"/>
                <w:kern w:val="0"/>
                <w:sz w:val="28"/>
                <w:szCs w:val="28"/>
                <w:highlight w:val="none"/>
              </w:rPr>
            </w:pPr>
            <w:r>
              <w:rPr>
                <w:rFonts w:cs="Times New Roman"/>
                <w:b/>
                <w:bCs/>
                <w:color w:val="auto"/>
                <w:kern w:val="0"/>
                <w:sz w:val="28"/>
                <w:szCs w:val="28"/>
                <w:highlight w:val="none"/>
              </w:rPr>
              <w:t>（亿元）</w:t>
            </w:r>
          </w:p>
        </w:tc>
        <w:tc>
          <w:tcPr>
            <w:tcW w:w="1222" w:type="pct"/>
            <w:tcBorders>
              <w:top w:val="single" w:color="000000" w:sz="12" w:space="0"/>
              <w:bottom w:val="single" w:color="000000" w:sz="12" w:space="0"/>
              <w:right w:val="nil"/>
              <w:tl2br w:val="nil"/>
              <w:tr2bl w:val="nil"/>
            </w:tcBorders>
            <w:vAlign w:val="center"/>
          </w:tcPr>
          <w:p>
            <w:pPr>
              <w:widowControl/>
              <w:spacing w:line="240" w:lineRule="auto"/>
              <w:ind w:firstLine="0" w:firstLineChars="0"/>
              <w:rPr>
                <w:rFonts w:cs="Times New Roman"/>
                <w:b/>
                <w:bCs/>
                <w:color w:val="auto"/>
                <w:kern w:val="0"/>
                <w:sz w:val="28"/>
                <w:szCs w:val="28"/>
                <w:highlight w:val="none"/>
              </w:rPr>
            </w:pPr>
            <w:r>
              <w:rPr>
                <w:rFonts w:cs="Times New Roman"/>
                <w:b/>
                <w:bCs/>
                <w:color w:val="auto"/>
                <w:kern w:val="0"/>
                <w:sz w:val="28"/>
                <w:szCs w:val="28"/>
                <w:highlight w:val="none"/>
              </w:rPr>
              <w:t>“十四五”计划投资（亿元）</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427" w:hRule="atLeast"/>
          <w:jc w:val="center"/>
        </w:trPr>
        <w:tc>
          <w:tcPr>
            <w:tcW w:w="595" w:type="pct"/>
            <w:tcBorders>
              <w:top w:val="single" w:color="000000" w:sz="12" w:space="0"/>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b/>
                <w:bCs/>
                <w:color w:val="auto"/>
                <w:kern w:val="0"/>
                <w:sz w:val="28"/>
                <w:szCs w:val="28"/>
                <w:highlight w:val="none"/>
              </w:rPr>
              <w:t>一</w:t>
            </w:r>
          </w:p>
        </w:tc>
        <w:tc>
          <w:tcPr>
            <w:tcW w:w="1293" w:type="pct"/>
            <w:tcBorders>
              <w:top w:val="single" w:color="000000" w:sz="12" w:space="0"/>
              <w:tl2br w:val="nil"/>
              <w:tr2bl w:val="nil"/>
            </w:tcBorders>
            <w:vAlign w:val="center"/>
          </w:tcPr>
          <w:p>
            <w:pPr>
              <w:widowControl/>
              <w:spacing w:line="240" w:lineRule="auto"/>
              <w:ind w:firstLine="0" w:firstLineChars="0"/>
              <w:rPr>
                <w:rFonts w:cs="Times New Roman"/>
                <w:b/>
                <w:bCs/>
                <w:color w:val="auto"/>
                <w:kern w:val="0"/>
                <w:sz w:val="28"/>
                <w:szCs w:val="28"/>
                <w:highlight w:val="none"/>
              </w:rPr>
            </w:pPr>
            <w:r>
              <w:rPr>
                <w:rFonts w:cs="Times New Roman"/>
                <w:b/>
                <w:bCs/>
                <w:color w:val="auto"/>
                <w:kern w:val="0"/>
                <w:sz w:val="28"/>
                <w:szCs w:val="28"/>
                <w:highlight w:val="none"/>
              </w:rPr>
              <w:t>产业转型领域</w:t>
            </w:r>
          </w:p>
        </w:tc>
        <w:tc>
          <w:tcPr>
            <w:tcW w:w="888" w:type="pct"/>
            <w:tcBorders>
              <w:top w:val="single" w:color="000000" w:sz="12" w:space="0"/>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54</w:t>
            </w:r>
          </w:p>
        </w:tc>
        <w:tc>
          <w:tcPr>
            <w:tcW w:w="999" w:type="pct"/>
            <w:tcBorders>
              <w:top w:val="single" w:color="000000" w:sz="12" w:space="0"/>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405.5</w:t>
            </w:r>
          </w:p>
        </w:tc>
        <w:tc>
          <w:tcPr>
            <w:tcW w:w="1222" w:type="pct"/>
            <w:tcBorders>
              <w:top w:val="single" w:color="000000" w:sz="12" w:space="0"/>
              <w:right w:val="nil"/>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183.9</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90"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（一）</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生态农业</w:t>
            </w:r>
          </w:p>
        </w:tc>
        <w:tc>
          <w:tcPr>
            <w:tcW w:w="888" w:type="pct"/>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10</w:t>
            </w:r>
          </w:p>
        </w:tc>
        <w:tc>
          <w:tcPr>
            <w:tcW w:w="999" w:type="pct"/>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10.8</w:t>
            </w:r>
          </w:p>
        </w:tc>
        <w:tc>
          <w:tcPr>
            <w:tcW w:w="1222" w:type="pct"/>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10.1</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13"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（二）</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生态制造业</w:t>
            </w:r>
          </w:p>
        </w:tc>
        <w:tc>
          <w:tcPr>
            <w:tcW w:w="888" w:type="pct"/>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9</w:t>
            </w:r>
          </w:p>
        </w:tc>
        <w:tc>
          <w:tcPr>
            <w:tcW w:w="999" w:type="pct"/>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117.3</w:t>
            </w:r>
          </w:p>
        </w:tc>
        <w:tc>
          <w:tcPr>
            <w:tcW w:w="1222" w:type="pct"/>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68.8</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86"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（三）</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生态服务业</w:t>
            </w:r>
          </w:p>
        </w:tc>
        <w:tc>
          <w:tcPr>
            <w:tcW w:w="888" w:type="pct"/>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29</w:t>
            </w:r>
          </w:p>
        </w:tc>
        <w:tc>
          <w:tcPr>
            <w:tcW w:w="999" w:type="pct"/>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154.4</w:t>
            </w:r>
          </w:p>
        </w:tc>
        <w:tc>
          <w:tcPr>
            <w:tcW w:w="1222" w:type="pct"/>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87.1</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86"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（四）</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产业平台</w:t>
            </w:r>
          </w:p>
        </w:tc>
        <w:tc>
          <w:tcPr>
            <w:tcW w:w="888" w:type="pct"/>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6</w:t>
            </w:r>
          </w:p>
        </w:tc>
        <w:tc>
          <w:tcPr>
            <w:tcW w:w="999" w:type="pct"/>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123.0</w:t>
            </w:r>
          </w:p>
        </w:tc>
        <w:tc>
          <w:tcPr>
            <w:tcW w:w="1222" w:type="pct"/>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17.9</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60"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b/>
                <w:bCs/>
                <w:color w:val="auto"/>
                <w:kern w:val="0"/>
                <w:sz w:val="28"/>
                <w:szCs w:val="28"/>
                <w:highlight w:val="none"/>
              </w:rPr>
              <w:t>二</w:t>
            </w:r>
          </w:p>
        </w:tc>
        <w:tc>
          <w:tcPr>
            <w:tcW w:w="1293" w:type="pct"/>
            <w:tcBorders>
              <w:tl2br w:val="nil"/>
              <w:tr2bl w:val="nil"/>
            </w:tcBorders>
            <w:vAlign w:val="center"/>
          </w:tcPr>
          <w:p>
            <w:pPr>
              <w:widowControl/>
              <w:spacing w:line="240" w:lineRule="auto"/>
              <w:ind w:firstLine="0" w:firstLineChars="0"/>
              <w:rPr>
                <w:rFonts w:cs="Times New Roman"/>
                <w:b/>
                <w:bCs/>
                <w:color w:val="auto"/>
                <w:kern w:val="0"/>
                <w:sz w:val="28"/>
                <w:szCs w:val="28"/>
                <w:highlight w:val="none"/>
              </w:rPr>
            </w:pPr>
            <w:r>
              <w:rPr>
                <w:rFonts w:cs="Times New Roman"/>
                <w:b/>
                <w:bCs/>
                <w:color w:val="auto"/>
                <w:kern w:val="0"/>
                <w:sz w:val="28"/>
                <w:szCs w:val="28"/>
                <w:highlight w:val="none"/>
              </w:rPr>
              <w:t>交通设施领域</w:t>
            </w:r>
          </w:p>
        </w:tc>
        <w:tc>
          <w:tcPr>
            <w:tcW w:w="888" w:type="pct"/>
            <w:tcBorders>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22</w:t>
            </w:r>
          </w:p>
        </w:tc>
        <w:tc>
          <w:tcPr>
            <w:tcW w:w="999" w:type="pct"/>
            <w:tcBorders>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173.8</w:t>
            </w:r>
          </w:p>
        </w:tc>
        <w:tc>
          <w:tcPr>
            <w:tcW w:w="1222" w:type="pct"/>
            <w:tcBorders>
              <w:right w:val="nil"/>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74.1</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77"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（一）</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铁路建设</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2</w:t>
            </w:r>
          </w:p>
        </w:tc>
        <w:tc>
          <w:tcPr>
            <w:tcW w:w="1811"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107.3</w:t>
            </w:r>
          </w:p>
        </w:tc>
        <w:tc>
          <w:tcPr>
            <w:tcW w:w="2215"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28.0</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15"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（二）</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公路建设</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16</w:t>
            </w:r>
          </w:p>
        </w:tc>
        <w:tc>
          <w:tcPr>
            <w:tcW w:w="1811"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65.1</w:t>
            </w:r>
          </w:p>
        </w:tc>
        <w:tc>
          <w:tcPr>
            <w:tcW w:w="2215"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45.4</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49"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（三）</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水运建设</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3</w:t>
            </w:r>
          </w:p>
        </w:tc>
        <w:tc>
          <w:tcPr>
            <w:tcW w:w="1811"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1.1</w:t>
            </w:r>
          </w:p>
        </w:tc>
        <w:tc>
          <w:tcPr>
            <w:tcW w:w="2215"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0.5</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68"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（四）</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场站枢纽</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1</w:t>
            </w:r>
          </w:p>
        </w:tc>
        <w:tc>
          <w:tcPr>
            <w:tcW w:w="1811"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0.3</w:t>
            </w:r>
          </w:p>
        </w:tc>
        <w:tc>
          <w:tcPr>
            <w:tcW w:w="2215"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0.2</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84"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b/>
                <w:bCs/>
                <w:color w:val="auto"/>
                <w:kern w:val="0"/>
                <w:sz w:val="28"/>
                <w:szCs w:val="28"/>
                <w:highlight w:val="none"/>
              </w:rPr>
              <w:t>三</w:t>
            </w:r>
          </w:p>
        </w:tc>
        <w:tc>
          <w:tcPr>
            <w:tcW w:w="1293" w:type="pct"/>
            <w:tcBorders>
              <w:tl2br w:val="nil"/>
              <w:tr2bl w:val="nil"/>
            </w:tcBorders>
            <w:vAlign w:val="center"/>
          </w:tcPr>
          <w:p>
            <w:pPr>
              <w:widowControl/>
              <w:spacing w:line="240" w:lineRule="auto"/>
              <w:ind w:firstLine="0" w:firstLineChars="0"/>
              <w:rPr>
                <w:rFonts w:cs="Times New Roman"/>
                <w:b/>
                <w:bCs/>
                <w:color w:val="auto"/>
                <w:kern w:val="0"/>
                <w:sz w:val="28"/>
                <w:szCs w:val="28"/>
                <w:highlight w:val="none"/>
              </w:rPr>
            </w:pPr>
            <w:r>
              <w:rPr>
                <w:rFonts w:cs="Times New Roman"/>
                <w:b/>
                <w:bCs/>
                <w:color w:val="auto"/>
                <w:kern w:val="0"/>
                <w:sz w:val="28"/>
                <w:szCs w:val="28"/>
                <w:highlight w:val="none"/>
              </w:rPr>
              <w:t>城乡统筹领域</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19</w:t>
            </w:r>
          </w:p>
        </w:tc>
        <w:tc>
          <w:tcPr>
            <w:tcW w:w="1811" w:type="dxa"/>
            <w:tcBorders>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lang w:bidi="ar"/>
              </w:rPr>
              <w:t>123.2</w:t>
            </w:r>
          </w:p>
        </w:tc>
        <w:tc>
          <w:tcPr>
            <w:tcW w:w="2215" w:type="dxa"/>
            <w:tcBorders>
              <w:right w:val="nil"/>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94.2</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456"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（一）</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市政基础设施</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8</w:t>
            </w:r>
          </w:p>
        </w:tc>
        <w:tc>
          <w:tcPr>
            <w:tcW w:w="1811"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14.4</w:t>
            </w:r>
          </w:p>
        </w:tc>
        <w:tc>
          <w:tcPr>
            <w:tcW w:w="2215"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12.5</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82"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（二）</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城市有机更新</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5</w:t>
            </w:r>
          </w:p>
        </w:tc>
        <w:tc>
          <w:tcPr>
            <w:tcW w:w="1811"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101.0</w:t>
            </w:r>
          </w:p>
        </w:tc>
        <w:tc>
          <w:tcPr>
            <w:tcW w:w="2215"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75.0</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97"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（三）</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美丽乡村建设</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rPr>
              <w:t>6</w:t>
            </w:r>
          </w:p>
        </w:tc>
        <w:tc>
          <w:tcPr>
            <w:tcW w:w="1811"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7.8</w:t>
            </w:r>
          </w:p>
        </w:tc>
        <w:tc>
          <w:tcPr>
            <w:tcW w:w="2215"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6.7</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98"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b/>
                <w:bCs/>
                <w:color w:val="auto"/>
                <w:kern w:val="0"/>
                <w:sz w:val="28"/>
                <w:szCs w:val="28"/>
                <w:highlight w:val="none"/>
              </w:rPr>
              <w:t>四</w:t>
            </w:r>
          </w:p>
        </w:tc>
        <w:tc>
          <w:tcPr>
            <w:tcW w:w="1293" w:type="pct"/>
            <w:tcBorders>
              <w:tl2br w:val="nil"/>
              <w:tr2bl w:val="nil"/>
            </w:tcBorders>
            <w:vAlign w:val="center"/>
          </w:tcPr>
          <w:p>
            <w:pPr>
              <w:widowControl/>
              <w:spacing w:line="240" w:lineRule="auto"/>
              <w:ind w:firstLine="0" w:firstLineChars="0"/>
              <w:rPr>
                <w:rFonts w:cs="Times New Roman"/>
                <w:b/>
                <w:bCs/>
                <w:color w:val="auto"/>
                <w:kern w:val="0"/>
                <w:sz w:val="28"/>
                <w:szCs w:val="28"/>
                <w:highlight w:val="none"/>
              </w:rPr>
            </w:pPr>
            <w:r>
              <w:rPr>
                <w:rFonts w:cs="Times New Roman"/>
                <w:b/>
                <w:bCs/>
                <w:color w:val="auto"/>
                <w:kern w:val="0"/>
                <w:sz w:val="28"/>
                <w:szCs w:val="28"/>
                <w:highlight w:val="none"/>
              </w:rPr>
              <w:t>生态环保领域</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lang w:bidi="ar"/>
              </w:rPr>
              <w:t>28</w:t>
            </w:r>
          </w:p>
        </w:tc>
        <w:tc>
          <w:tcPr>
            <w:tcW w:w="1810" w:type="dxa"/>
            <w:tcBorders>
              <w:tl2br w:val="nil"/>
              <w:tr2bl w:val="nil"/>
            </w:tcBorders>
            <w:vAlign w:val="center"/>
          </w:tcPr>
          <w:p>
            <w:pPr>
              <w:widowControl/>
              <w:adjustRightInd/>
              <w:snapToGrid/>
              <w:spacing w:line="360" w:lineRule="exact"/>
              <w:ind w:firstLine="0" w:firstLineChars="0"/>
              <w:jc w:val="center"/>
              <w:rPr>
                <w:rFonts w:hint="default" w:eastAsia="仿宋_GB2312" w:cs="Times New Roman"/>
                <w:b/>
                <w:color w:val="auto"/>
                <w:kern w:val="0"/>
                <w:sz w:val="28"/>
                <w:szCs w:val="28"/>
                <w:highlight w:val="none"/>
                <w:lang w:val="en-US" w:eastAsia="zh-CN"/>
              </w:rPr>
            </w:pPr>
            <w:r>
              <w:rPr>
                <w:rFonts w:cs="Times New Roman"/>
                <w:b/>
                <w:color w:val="auto"/>
                <w:kern w:val="0"/>
                <w:sz w:val="28"/>
                <w:szCs w:val="28"/>
                <w:highlight w:val="none"/>
                <w:lang w:bidi="ar"/>
              </w:rPr>
              <w:t>6</w:t>
            </w:r>
            <w:r>
              <w:rPr>
                <w:rFonts w:hint="eastAsia" w:cs="Times New Roman"/>
                <w:b/>
                <w:color w:val="auto"/>
                <w:kern w:val="0"/>
                <w:sz w:val="28"/>
                <w:szCs w:val="28"/>
                <w:highlight w:val="none"/>
                <w:lang w:eastAsia="zh-CN" w:bidi="ar"/>
              </w:rPr>
              <w:t>9</w:t>
            </w:r>
            <w:r>
              <w:rPr>
                <w:rFonts w:hint="eastAsia" w:cs="Times New Roman"/>
                <w:b/>
                <w:color w:val="auto"/>
                <w:kern w:val="0"/>
                <w:sz w:val="28"/>
                <w:szCs w:val="28"/>
                <w:highlight w:val="none"/>
                <w:lang w:val="en-US" w:eastAsia="zh-CN" w:bidi="ar"/>
              </w:rPr>
              <w:t>.4</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hint="default" w:eastAsia="仿宋_GB2312" w:cs="Times New Roman"/>
                <w:b/>
                <w:color w:val="auto"/>
                <w:kern w:val="0"/>
                <w:sz w:val="28"/>
                <w:szCs w:val="28"/>
                <w:highlight w:val="none"/>
                <w:lang w:val="en-US" w:eastAsia="zh-CN"/>
              </w:rPr>
            </w:pPr>
            <w:r>
              <w:rPr>
                <w:rFonts w:cs="Times New Roman"/>
                <w:b/>
                <w:color w:val="auto"/>
                <w:kern w:val="0"/>
                <w:sz w:val="28"/>
                <w:szCs w:val="28"/>
                <w:highlight w:val="none"/>
                <w:lang w:bidi="ar"/>
              </w:rPr>
              <w:t>4</w:t>
            </w:r>
            <w:r>
              <w:rPr>
                <w:rFonts w:hint="eastAsia" w:cs="Times New Roman"/>
                <w:b/>
                <w:color w:val="auto"/>
                <w:kern w:val="0"/>
                <w:sz w:val="28"/>
                <w:szCs w:val="28"/>
                <w:highlight w:val="none"/>
                <w:lang w:eastAsia="zh-CN" w:bidi="ar"/>
              </w:rPr>
              <w:t>3</w:t>
            </w:r>
            <w:r>
              <w:rPr>
                <w:rFonts w:hint="eastAsia" w:cs="Times New Roman"/>
                <w:b/>
                <w:color w:val="auto"/>
                <w:kern w:val="0"/>
                <w:sz w:val="28"/>
                <w:szCs w:val="28"/>
                <w:highlight w:val="none"/>
                <w:lang w:val="en-US" w:eastAsia="zh-CN" w:bidi="ar"/>
              </w:rPr>
              <w:t>.6</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98"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（一）</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美丽水利设施</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15</w:t>
            </w:r>
          </w:p>
        </w:tc>
        <w:tc>
          <w:tcPr>
            <w:tcW w:w="1810"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18.6</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14.2</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426"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（二）</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环保基础设施</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6</w:t>
            </w:r>
          </w:p>
        </w:tc>
        <w:tc>
          <w:tcPr>
            <w:tcW w:w="1810" w:type="dxa"/>
            <w:tcBorders>
              <w:tl2br w:val="nil"/>
              <w:tr2bl w:val="nil"/>
            </w:tcBorders>
            <w:vAlign w:val="center"/>
          </w:tcPr>
          <w:p>
            <w:pPr>
              <w:widowControl/>
              <w:adjustRightInd/>
              <w:snapToGrid/>
              <w:spacing w:line="360" w:lineRule="exact"/>
              <w:ind w:firstLine="0" w:firstLineChars="0"/>
              <w:jc w:val="center"/>
              <w:rPr>
                <w:rFonts w:hint="default" w:eastAsia="仿宋_GB2312" w:cs="Times New Roman"/>
                <w:bCs/>
                <w:color w:val="auto"/>
                <w:kern w:val="0"/>
                <w:sz w:val="28"/>
                <w:szCs w:val="28"/>
                <w:highlight w:val="none"/>
                <w:lang w:val="en-US" w:eastAsia="zh-CN"/>
              </w:rPr>
            </w:pPr>
            <w:r>
              <w:rPr>
                <w:rFonts w:hint="eastAsia" w:cs="Times New Roman"/>
                <w:bCs/>
                <w:color w:val="auto"/>
                <w:kern w:val="0"/>
                <w:sz w:val="28"/>
                <w:szCs w:val="28"/>
                <w:highlight w:val="none"/>
                <w:lang w:eastAsia="zh-CN" w:bidi="ar"/>
              </w:rPr>
              <w:t>1</w:t>
            </w:r>
            <w:r>
              <w:rPr>
                <w:rFonts w:hint="eastAsia" w:cs="Times New Roman"/>
                <w:bCs/>
                <w:color w:val="auto"/>
                <w:kern w:val="0"/>
                <w:sz w:val="28"/>
                <w:szCs w:val="28"/>
                <w:highlight w:val="none"/>
                <w:lang w:val="en-US" w:eastAsia="zh-CN" w:bidi="ar"/>
              </w:rPr>
              <w:t>0.1</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hint="default" w:eastAsia="仿宋_GB2312" w:cs="Times New Roman"/>
                <w:bCs/>
                <w:color w:val="auto"/>
                <w:kern w:val="0"/>
                <w:sz w:val="28"/>
                <w:szCs w:val="28"/>
                <w:highlight w:val="none"/>
                <w:lang w:val="en-US" w:eastAsia="zh-CN"/>
              </w:rPr>
            </w:pPr>
            <w:r>
              <w:rPr>
                <w:rFonts w:hint="eastAsia" w:cs="Times New Roman"/>
                <w:bCs/>
                <w:color w:val="auto"/>
                <w:kern w:val="0"/>
                <w:sz w:val="28"/>
                <w:szCs w:val="28"/>
                <w:highlight w:val="none"/>
                <w:lang w:eastAsia="zh-CN" w:bidi="ar"/>
              </w:rPr>
              <w:t>8</w:t>
            </w:r>
            <w:r>
              <w:rPr>
                <w:rFonts w:hint="eastAsia" w:cs="Times New Roman"/>
                <w:bCs/>
                <w:color w:val="auto"/>
                <w:kern w:val="0"/>
                <w:sz w:val="28"/>
                <w:szCs w:val="28"/>
                <w:highlight w:val="none"/>
                <w:lang w:val="en-US" w:eastAsia="zh-CN" w:bidi="ar"/>
              </w:rPr>
              <w:t>.3</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426"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（三）</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生态涵养建设</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3</w:t>
            </w:r>
          </w:p>
        </w:tc>
        <w:tc>
          <w:tcPr>
            <w:tcW w:w="1810"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13.6</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8.5</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426"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（四）</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绿色能源设施</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4</w:t>
            </w:r>
          </w:p>
        </w:tc>
        <w:tc>
          <w:tcPr>
            <w:tcW w:w="1810"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27.1</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12.6</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438"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b/>
                <w:bCs/>
                <w:color w:val="auto"/>
                <w:kern w:val="0"/>
                <w:sz w:val="28"/>
                <w:szCs w:val="28"/>
                <w:highlight w:val="none"/>
              </w:rPr>
              <w:t>五</w:t>
            </w:r>
          </w:p>
        </w:tc>
        <w:tc>
          <w:tcPr>
            <w:tcW w:w="1293" w:type="pct"/>
            <w:tcBorders>
              <w:tl2br w:val="nil"/>
              <w:tr2bl w:val="nil"/>
            </w:tcBorders>
            <w:vAlign w:val="center"/>
          </w:tcPr>
          <w:p>
            <w:pPr>
              <w:widowControl/>
              <w:spacing w:line="240" w:lineRule="auto"/>
              <w:ind w:firstLine="0" w:firstLineChars="0"/>
              <w:rPr>
                <w:rFonts w:cs="Times New Roman"/>
                <w:b/>
                <w:bCs/>
                <w:color w:val="auto"/>
                <w:kern w:val="0"/>
                <w:sz w:val="28"/>
                <w:szCs w:val="28"/>
                <w:highlight w:val="none"/>
              </w:rPr>
            </w:pPr>
            <w:r>
              <w:rPr>
                <w:rFonts w:cs="Times New Roman"/>
                <w:b/>
                <w:bCs/>
                <w:color w:val="auto"/>
                <w:kern w:val="0"/>
                <w:sz w:val="28"/>
                <w:szCs w:val="28"/>
                <w:highlight w:val="none"/>
              </w:rPr>
              <w:t>公共服务领域</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rPr>
              <w:t>31</w:t>
            </w:r>
          </w:p>
        </w:tc>
        <w:tc>
          <w:tcPr>
            <w:tcW w:w="1810" w:type="dxa"/>
            <w:tcBorders>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lang w:bidi="ar"/>
              </w:rPr>
              <w:t>21.3</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rPr>
            </w:pPr>
            <w:r>
              <w:rPr>
                <w:rFonts w:cs="Times New Roman"/>
                <w:b/>
                <w:color w:val="auto"/>
                <w:kern w:val="0"/>
                <w:sz w:val="28"/>
                <w:szCs w:val="28"/>
                <w:highlight w:val="none"/>
                <w:lang w:bidi="ar"/>
              </w:rPr>
              <w:t>19.</w:t>
            </w:r>
            <w:r>
              <w:rPr>
                <w:rFonts w:hint="eastAsia" w:cs="Times New Roman"/>
                <w:b/>
                <w:color w:val="auto"/>
                <w:kern w:val="0"/>
                <w:sz w:val="28"/>
                <w:szCs w:val="28"/>
                <w:highlight w:val="none"/>
                <w:lang w:val="en-US" w:eastAsia="zh-CN" w:bidi="ar"/>
              </w:rPr>
              <w:t>6</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418"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（一）</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教育</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16</w:t>
            </w:r>
          </w:p>
        </w:tc>
        <w:tc>
          <w:tcPr>
            <w:tcW w:w="1810"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14.0</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13.7</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84"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（二）</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医疗卫生</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5</w:t>
            </w:r>
          </w:p>
        </w:tc>
        <w:tc>
          <w:tcPr>
            <w:tcW w:w="1810"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3.2</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3.0</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84"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（三）</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文化体育</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4</w:t>
            </w:r>
          </w:p>
        </w:tc>
        <w:tc>
          <w:tcPr>
            <w:tcW w:w="1810"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1.8</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1.6</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84"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（四）</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社会保障</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2</w:t>
            </w:r>
          </w:p>
        </w:tc>
        <w:tc>
          <w:tcPr>
            <w:tcW w:w="1810"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0.6</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0.4</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84" w:hRule="atLeast"/>
          <w:jc w:val="center"/>
        </w:trPr>
        <w:tc>
          <w:tcPr>
            <w:tcW w:w="595" w:type="pct"/>
            <w:tcBorders>
              <w:tl2br w:val="nil"/>
              <w:tr2bl w:val="nil"/>
            </w:tcBorders>
            <w:vAlign w:val="center"/>
          </w:tcPr>
          <w:p>
            <w:pPr>
              <w:widowControl/>
              <w:spacing w:line="240" w:lineRule="auto"/>
              <w:ind w:firstLine="0" w:firstLineChars="0"/>
              <w:jc w:val="center"/>
              <w:rPr>
                <w:rFonts w:cs="Times New Roman"/>
                <w:color w:val="auto"/>
                <w:kern w:val="0"/>
                <w:sz w:val="28"/>
                <w:szCs w:val="28"/>
                <w:highlight w:val="none"/>
              </w:rPr>
            </w:pPr>
            <w:r>
              <w:rPr>
                <w:rFonts w:cs="Times New Roman"/>
                <w:color w:val="auto"/>
                <w:kern w:val="0"/>
                <w:sz w:val="28"/>
                <w:szCs w:val="28"/>
                <w:highlight w:val="none"/>
              </w:rPr>
              <w:t>（五）</w:t>
            </w:r>
          </w:p>
        </w:tc>
        <w:tc>
          <w:tcPr>
            <w:tcW w:w="1293" w:type="pct"/>
            <w:tcBorders>
              <w:tl2br w:val="nil"/>
              <w:tr2bl w:val="nil"/>
            </w:tcBorders>
            <w:vAlign w:val="center"/>
          </w:tcPr>
          <w:p>
            <w:pPr>
              <w:widowControl/>
              <w:spacing w:line="240" w:lineRule="auto"/>
              <w:ind w:firstLine="0" w:firstLineChars="0"/>
              <w:rPr>
                <w:rFonts w:cs="Times New Roman"/>
                <w:bCs/>
                <w:color w:val="auto"/>
                <w:kern w:val="0"/>
                <w:sz w:val="28"/>
                <w:szCs w:val="28"/>
                <w:highlight w:val="none"/>
              </w:rPr>
            </w:pPr>
            <w:r>
              <w:rPr>
                <w:rFonts w:cs="Times New Roman"/>
                <w:bCs/>
                <w:color w:val="auto"/>
                <w:kern w:val="0"/>
                <w:sz w:val="28"/>
                <w:szCs w:val="28"/>
                <w:highlight w:val="none"/>
              </w:rPr>
              <w:t>公共安全</w:t>
            </w:r>
          </w:p>
        </w:tc>
        <w:tc>
          <w:tcPr>
            <w:tcW w:w="1609"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4</w:t>
            </w:r>
          </w:p>
        </w:tc>
        <w:tc>
          <w:tcPr>
            <w:tcW w:w="1810" w:type="dxa"/>
            <w:tcBorders>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1.6</w:t>
            </w:r>
          </w:p>
        </w:tc>
        <w:tc>
          <w:tcPr>
            <w:tcW w:w="2214" w:type="dxa"/>
            <w:tcBorders>
              <w:right w:val="nil"/>
              <w:tl2br w:val="nil"/>
              <w:tr2bl w:val="nil"/>
            </w:tcBorders>
            <w:vAlign w:val="center"/>
          </w:tcPr>
          <w:p>
            <w:pPr>
              <w:widowControl/>
              <w:adjustRightInd/>
              <w:snapToGrid/>
              <w:spacing w:line="360" w:lineRule="exact"/>
              <w:ind w:firstLine="0" w:firstLineChars="0"/>
              <w:jc w:val="center"/>
              <w:rPr>
                <w:rFonts w:cs="Times New Roman"/>
                <w:bCs/>
                <w:color w:val="auto"/>
                <w:kern w:val="0"/>
                <w:sz w:val="28"/>
                <w:szCs w:val="28"/>
                <w:highlight w:val="none"/>
              </w:rPr>
            </w:pPr>
            <w:r>
              <w:rPr>
                <w:rFonts w:cs="Times New Roman"/>
                <w:bCs/>
                <w:color w:val="auto"/>
                <w:kern w:val="0"/>
                <w:sz w:val="28"/>
                <w:szCs w:val="28"/>
                <w:highlight w:val="none"/>
                <w:lang w:bidi="ar"/>
              </w:rPr>
              <w:t>0.9</w:t>
            </w:r>
          </w:p>
        </w:tc>
      </w:tr>
      <w:tr>
        <w:tblPrEx>
          <w:tblBorders>
            <w:top w:val="single" w:color="000000" w:sz="2" w:space="0"/>
            <w:left w:val="none" w:color="auto" w:sz="0" w:space="0"/>
            <w:bottom w:val="single" w:color="000000" w:sz="2" w:space="0"/>
            <w:right w:val="single" w:color="auto" w:sz="4" w:space="0"/>
            <w:insideH w:val="single" w:color="000000" w:sz="2" w:space="0"/>
            <w:insideV w:val="single" w:color="000000" w:sz="2" w:space="0"/>
          </w:tblBorders>
          <w:tblCellMar>
            <w:top w:w="57" w:type="dxa"/>
            <w:left w:w="108" w:type="dxa"/>
            <w:bottom w:w="57" w:type="dxa"/>
            <w:right w:w="108" w:type="dxa"/>
          </w:tblCellMar>
        </w:tblPrEx>
        <w:trPr>
          <w:trHeight w:val="380" w:hRule="atLeast"/>
          <w:jc w:val="center"/>
        </w:trPr>
        <w:tc>
          <w:tcPr>
            <w:tcW w:w="1889" w:type="pct"/>
            <w:gridSpan w:val="2"/>
            <w:tcBorders>
              <w:bottom w:val="single" w:color="000000" w:sz="12" w:space="0"/>
              <w:tl2br w:val="nil"/>
              <w:tr2bl w:val="nil"/>
            </w:tcBorders>
            <w:vAlign w:val="center"/>
          </w:tcPr>
          <w:p>
            <w:pPr>
              <w:widowControl/>
              <w:spacing w:line="240" w:lineRule="auto"/>
              <w:ind w:firstLine="0" w:firstLineChars="0"/>
              <w:jc w:val="center"/>
              <w:rPr>
                <w:rFonts w:cs="Times New Roman"/>
                <w:b/>
                <w:bCs/>
                <w:color w:val="auto"/>
                <w:kern w:val="0"/>
                <w:sz w:val="28"/>
                <w:szCs w:val="28"/>
                <w:highlight w:val="none"/>
              </w:rPr>
            </w:pPr>
            <w:r>
              <w:rPr>
                <w:rFonts w:cs="Times New Roman"/>
                <w:b/>
                <w:bCs/>
                <w:color w:val="auto"/>
                <w:kern w:val="0"/>
                <w:sz w:val="28"/>
                <w:szCs w:val="28"/>
                <w:highlight w:val="none"/>
              </w:rPr>
              <w:t>合计</w:t>
            </w:r>
          </w:p>
        </w:tc>
        <w:tc>
          <w:tcPr>
            <w:tcW w:w="888" w:type="pct"/>
            <w:tcBorders>
              <w:bottom w:val="single" w:color="000000" w:sz="12" w:space="0"/>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154</w:t>
            </w:r>
          </w:p>
        </w:tc>
        <w:tc>
          <w:tcPr>
            <w:tcW w:w="999" w:type="pct"/>
            <w:tcBorders>
              <w:bottom w:val="single" w:color="000000" w:sz="12" w:space="0"/>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793</w:t>
            </w:r>
          </w:p>
        </w:tc>
        <w:tc>
          <w:tcPr>
            <w:tcW w:w="1222" w:type="pct"/>
            <w:tcBorders>
              <w:bottom w:val="single" w:color="000000" w:sz="12" w:space="0"/>
              <w:right w:val="nil"/>
              <w:tl2br w:val="nil"/>
              <w:tr2bl w:val="nil"/>
            </w:tcBorders>
            <w:vAlign w:val="center"/>
          </w:tcPr>
          <w:p>
            <w:pPr>
              <w:widowControl/>
              <w:adjustRightInd/>
              <w:snapToGrid/>
              <w:spacing w:line="360" w:lineRule="exact"/>
              <w:ind w:firstLine="0" w:firstLineChars="0"/>
              <w:jc w:val="center"/>
              <w:rPr>
                <w:rFonts w:cs="Times New Roman"/>
                <w:b/>
                <w:color w:val="auto"/>
                <w:kern w:val="0"/>
                <w:sz w:val="28"/>
                <w:szCs w:val="28"/>
                <w:highlight w:val="none"/>
                <w:lang w:bidi="ar"/>
              </w:rPr>
            </w:pPr>
            <w:r>
              <w:rPr>
                <w:rFonts w:cs="Times New Roman"/>
                <w:b/>
                <w:color w:val="auto"/>
                <w:kern w:val="0"/>
                <w:sz w:val="28"/>
                <w:szCs w:val="28"/>
                <w:highlight w:val="none"/>
                <w:lang w:bidi="ar"/>
              </w:rPr>
              <w:t>415</w:t>
            </w:r>
          </w:p>
        </w:tc>
      </w:tr>
    </w:tbl>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pPr>
    </w:p>
    <w:p>
      <w:pPr>
        <w:ind w:firstLine="655"/>
        <w:rPr>
          <w:rFonts w:cs="Times New Roman"/>
          <w:color w:val="auto"/>
          <w:highlight w:val="none"/>
        </w:rPr>
        <w:sectPr>
          <w:pgSz w:w="11906" w:h="16838"/>
          <w:pgMar w:top="2098" w:right="1474" w:bottom="1984" w:left="1587" w:header="851" w:footer="1417" w:gutter="0"/>
          <w:cols w:space="0" w:num="1"/>
          <w:docGrid w:type="linesAndChars" w:linePitch="439" w:charSpace="1554"/>
        </w:sectPr>
      </w:pPr>
    </w:p>
    <w:p>
      <w:pPr>
        <w:pStyle w:val="11"/>
        <w:spacing w:after="0"/>
        <w:ind w:firstLine="0" w:firstLineChars="0"/>
        <w:outlineLvl w:val="0"/>
        <w:rPr>
          <w:rFonts w:cs="Times New Roman"/>
          <w:color w:val="auto"/>
          <w:highlight w:val="none"/>
        </w:rPr>
      </w:pPr>
      <w:r>
        <w:rPr>
          <w:rFonts w:cs="Times New Roman"/>
          <w:color w:val="auto"/>
          <w:highlight w:val="none"/>
        </w:rPr>
        <w:t>附件2</w:t>
      </w:r>
    </w:p>
    <w:p>
      <w:pPr>
        <w:ind w:firstLine="655"/>
        <w:rPr>
          <w:rFonts w:cs="Times New Roman"/>
          <w:color w:val="auto"/>
          <w:highlight w:val="none"/>
        </w:rPr>
      </w:pPr>
    </w:p>
    <w:p>
      <w:pPr>
        <w:pStyle w:val="11"/>
        <w:ind w:firstLine="0" w:firstLineChars="0"/>
        <w:jc w:val="center"/>
        <w:outlineLvl w:val="0"/>
        <w:rPr>
          <w:rFonts w:eastAsia="黑体" w:cs="Times New Roman"/>
          <w:color w:val="auto"/>
          <w:highlight w:val="none"/>
        </w:rPr>
      </w:pPr>
      <w:bookmarkStart w:id="232" w:name="_Toc29355"/>
      <w:bookmarkStart w:id="233" w:name="_Toc13804"/>
      <w:bookmarkStart w:id="234" w:name="_Toc14538"/>
      <w:bookmarkStart w:id="235" w:name="_Toc22457"/>
      <w:r>
        <w:rPr>
          <w:rFonts w:eastAsia="黑体" w:cs="Times New Roman"/>
          <w:color w:val="auto"/>
          <w:sz w:val="28"/>
          <w:szCs w:val="28"/>
          <w:highlight w:val="none"/>
        </w:rPr>
        <w:t>云和县“十四五”重大建设项目（实施类）</w:t>
      </w:r>
      <w:bookmarkEnd w:id="232"/>
      <w:bookmarkEnd w:id="233"/>
    </w:p>
    <w:p>
      <w:pPr>
        <w:ind w:firstLine="0" w:firstLineChars="0"/>
        <w:jc w:val="right"/>
        <w:rPr>
          <w:rFonts w:cs="Times New Roman"/>
          <w:color w:val="auto"/>
          <w:sz w:val="24"/>
          <w:szCs w:val="20"/>
          <w:highlight w:val="none"/>
        </w:rPr>
      </w:pPr>
      <w:r>
        <w:rPr>
          <w:rFonts w:cs="Times New Roman"/>
          <w:color w:val="auto"/>
          <w:sz w:val="24"/>
          <w:szCs w:val="20"/>
          <w:highlight w:val="none"/>
        </w:rPr>
        <w:t>单位：亿元</w:t>
      </w:r>
    </w:p>
    <w:tbl>
      <w:tblPr>
        <w:tblStyle w:val="23"/>
        <w:tblW w:w="4998" w:type="pct"/>
        <w:tblInd w:w="0" w:type="dxa"/>
        <w:tblLayout w:type="fixed"/>
        <w:tblCellMar>
          <w:top w:w="0" w:type="dxa"/>
          <w:left w:w="108" w:type="dxa"/>
          <w:bottom w:w="0" w:type="dxa"/>
          <w:right w:w="108" w:type="dxa"/>
        </w:tblCellMar>
      </w:tblPr>
      <w:tblGrid>
        <w:gridCol w:w="639"/>
        <w:gridCol w:w="1094"/>
        <w:gridCol w:w="1229"/>
        <w:gridCol w:w="988"/>
        <w:gridCol w:w="3258"/>
        <w:gridCol w:w="1012"/>
        <w:gridCol w:w="1281"/>
        <w:gridCol w:w="1064"/>
        <w:gridCol w:w="1216"/>
        <w:gridCol w:w="1186"/>
      </w:tblGrid>
      <w:tr>
        <w:tblPrEx>
          <w:tblCellMar>
            <w:top w:w="0" w:type="dxa"/>
            <w:left w:w="108" w:type="dxa"/>
            <w:bottom w:w="0" w:type="dxa"/>
            <w:right w:w="108" w:type="dxa"/>
          </w:tblCellMar>
        </w:tblPrEx>
        <w:trPr>
          <w:trHeight w:val="285" w:hRule="atLeast"/>
          <w:tblHeader/>
        </w:trPr>
        <w:tc>
          <w:tcPr>
            <w:tcW w:w="246"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eastAsia="宋体" w:cs="Times New Roman"/>
                <w:b/>
                <w:bCs/>
                <w:color w:val="auto"/>
                <w:kern w:val="0"/>
                <w:sz w:val="18"/>
                <w:szCs w:val="18"/>
                <w:highlight w:val="none"/>
                <w:lang w:bidi="ar"/>
              </w:rPr>
              <w:t>序号</w:t>
            </w:r>
          </w:p>
        </w:tc>
        <w:tc>
          <w:tcPr>
            <w:tcW w:w="896"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eastAsia="宋体" w:cs="Times New Roman"/>
                <w:b/>
                <w:bCs/>
                <w:color w:val="auto"/>
                <w:kern w:val="0"/>
                <w:sz w:val="18"/>
                <w:szCs w:val="18"/>
                <w:highlight w:val="none"/>
                <w:lang w:bidi="ar"/>
              </w:rPr>
              <w:t>项目名称</w:t>
            </w:r>
          </w:p>
        </w:tc>
        <w:tc>
          <w:tcPr>
            <w:tcW w:w="381"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eastAsia="宋体" w:cs="Times New Roman"/>
                <w:b/>
                <w:bCs/>
                <w:color w:val="auto"/>
                <w:kern w:val="0"/>
                <w:sz w:val="18"/>
                <w:szCs w:val="18"/>
                <w:highlight w:val="none"/>
                <w:lang w:bidi="ar"/>
              </w:rPr>
              <w:t>建设类别</w:t>
            </w:r>
          </w:p>
        </w:tc>
        <w:tc>
          <w:tcPr>
            <w:tcW w:w="1256"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eastAsia="宋体" w:cs="Times New Roman"/>
                <w:b/>
                <w:bCs/>
                <w:color w:val="auto"/>
                <w:kern w:val="0"/>
                <w:sz w:val="18"/>
                <w:szCs w:val="18"/>
                <w:highlight w:val="none"/>
                <w:lang w:bidi="ar"/>
              </w:rPr>
              <w:t>主要建设内容和规模</w:t>
            </w:r>
          </w:p>
        </w:tc>
        <w:tc>
          <w:tcPr>
            <w:tcW w:w="390"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eastAsia="宋体" w:cs="Times New Roman"/>
                <w:b/>
                <w:bCs/>
                <w:color w:val="auto"/>
                <w:kern w:val="0"/>
                <w:sz w:val="18"/>
                <w:szCs w:val="18"/>
                <w:highlight w:val="none"/>
                <w:lang w:bidi="ar"/>
              </w:rPr>
              <w:t>总投资</w:t>
            </w:r>
          </w:p>
        </w:tc>
        <w:tc>
          <w:tcPr>
            <w:tcW w:w="494"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eastAsia="宋体" w:cs="Times New Roman"/>
                <w:b/>
                <w:bCs/>
                <w:color w:val="auto"/>
                <w:kern w:val="0"/>
                <w:sz w:val="18"/>
                <w:szCs w:val="18"/>
                <w:highlight w:val="none"/>
                <w:lang w:bidi="ar"/>
              </w:rPr>
              <w:t>建设起止年限</w:t>
            </w:r>
          </w:p>
        </w:tc>
        <w:tc>
          <w:tcPr>
            <w:tcW w:w="8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“十四五”项目计划进展</w:t>
            </w:r>
          </w:p>
        </w:tc>
        <w:tc>
          <w:tcPr>
            <w:tcW w:w="457" w:type="pct"/>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责任单位</w:t>
            </w:r>
          </w:p>
        </w:tc>
      </w:tr>
      <w:tr>
        <w:tblPrEx>
          <w:tblCellMar>
            <w:top w:w="0" w:type="dxa"/>
            <w:left w:w="108" w:type="dxa"/>
            <w:bottom w:w="0" w:type="dxa"/>
            <w:right w:w="108" w:type="dxa"/>
          </w:tblCellMar>
        </w:tblPrEx>
        <w:trPr>
          <w:trHeight w:val="285" w:hRule="atLeast"/>
          <w:tblHeader/>
        </w:trPr>
        <w:tc>
          <w:tcPr>
            <w:tcW w:w="246"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kern w:val="0"/>
                <w:sz w:val="18"/>
                <w:szCs w:val="18"/>
                <w:highlight w:val="none"/>
                <w:lang w:bidi="ar"/>
              </w:rPr>
            </w:pPr>
          </w:p>
        </w:tc>
        <w:tc>
          <w:tcPr>
            <w:tcW w:w="896" w:type="pct"/>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kern w:val="0"/>
                <w:sz w:val="18"/>
                <w:szCs w:val="18"/>
                <w:highlight w:val="none"/>
                <w:lang w:bidi="ar"/>
              </w:rPr>
            </w:pPr>
          </w:p>
        </w:tc>
        <w:tc>
          <w:tcPr>
            <w:tcW w:w="381"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kern w:val="0"/>
                <w:sz w:val="18"/>
                <w:szCs w:val="18"/>
                <w:highlight w:val="none"/>
                <w:lang w:bidi="ar"/>
              </w:rPr>
            </w:pPr>
          </w:p>
        </w:tc>
        <w:tc>
          <w:tcPr>
            <w:tcW w:w="1256"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kern w:val="0"/>
                <w:sz w:val="18"/>
                <w:szCs w:val="18"/>
                <w:highlight w:val="none"/>
                <w:lang w:bidi="ar"/>
              </w:rPr>
            </w:pPr>
          </w:p>
        </w:tc>
        <w:tc>
          <w:tcPr>
            <w:tcW w:w="390"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kern w:val="0"/>
                <w:sz w:val="18"/>
                <w:szCs w:val="18"/>
                <w:highlight w:val="none"/>
                <w:lang w:bidi="ar"/>
              </w:rPr>
            </w:pPr>
          </w:p>
        </w:tc>
        <w:tc>
          <w:tcPr>
            <w:tcW w:w="494"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eastAsia="宋体" w:cs="Times New Roman"/>
                <w:b/>
                <w:bCs/>
                <w:color w:val="auto"/>
                <w:kern w:val="0"/>
                <w:sz w:val="18"/>
                <w:szCs w:val="18"/>
                <w:highlight w:val="none"/>
                <w:lang w:bidi="ar"/>
              </w:rPr>
              <w:t>完成投资</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eastAsia="宋体" w:cs="Times New Roman"/>
                <w:b/>
                <w:bCs/>
                <w:color w:val="auto"/>
                <w:kern w:val="0"/>
                <w:sz w:val="18"/>
                <w:szCs w:val="18"/>
                <w:highlight w:val="none"/>
                <w:lang w:bidi="ar"/>
              </w:rPr>
              <w:t>形象进度</w:t>
            </w:r>
          </w:p>
        </w:tc>
        <w:tc>
          <w:tcPr>
            <w:tcW w:w="457"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合计</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 xml:space="preserve">793.066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 xml:space="preserve">415.301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一</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产业转型领域</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 xml:space="preserve">405.465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 xml:space="preserve">183.910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(一)</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生态农业</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 xml:space="preserve">10.810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cs="Times New Roman"/>
                <w:color w:val="auto"/>
                <w:kern w:val="0"/>
                <w:sz w:val="18"/>
                <w:szCs w:val="18"/>
                <w:highlight w:val="none"/>
                <w:lang w:bidi="ar"/>
              </w:rPr>
            </w:pPr>
            <w:r>
              <w:rPr>
                <w:rFonts w:cs="Times New Roman"/>
                <w:b/>
                <w:bCs/>
                <w:color w:val="auto"/>
                <w:kern w:val="0"/>
                <w:sz w:val="18"/>
                <w:szCs w:val="18"/>
                <w:highlight w:val="none"/>
                <w:lang w:bidi="ar"/>
              </w:rPr>
              <w:t xml:space="preserve">10.140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5"/>
              <w:jc w:val="center"/>
              <w:textAlignment w:val="center"/>
              <w:rPr>
                <w:rFonts w:cs="Times New Roman"/>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土地整治</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“十四五”期间新增耕地2200亩</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自然资源局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农田基础设施提升</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修建生产便道、渠道等基础设施，“十四五”期间提升农田2万亩</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提升改造2万亩</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伏布生猪养殖基地建设</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占地约300亩左右，存栏能繁母猪2400头，年出栏生猪50000头；连接道路拓宽改造8.2公里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1.530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0.860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木樨花生猪繁育场</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位于安溪木樨花自然村，规划基建土地约49.97亩,配套种植消纳地500亩，新建猪舍及附属设施建筑面积约24420㎡，分两期建设</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云圈云蔬生态牧场</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规划牧场面积1300亩，建设用地36亩，建设圈舍、配套用房、办公用房、宿舍、环保设施、道路建设等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云和师傅白鹤尖非遗文化酱菜生产</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建设用地10-15亩，结合梯田农耕文化，建设白鹤尖非物质文化遗产酱菜生产加工厂，酱菜博物馆，酱菜生产线一条，冷库一个</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安溪田园综合体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后塘农旅融合项目、森泉山庄、桃花谷、安源牧歌奶牛场等小型综合体提升改造及相关基础配套设施建设</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基本完工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安溪乡</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三门田（果）园综合体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以三门精品山地水果产业带为载体，综合山地精品水果生产、果酒加工、山地民宿、采摘体验、休闲观光等功能为一体，涉及白龙山街道三门村、高胥村、沙溪村、泓新村</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田垟田园综合体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依托云和湖山水和双垟村农业资源优势，以生态油茶、雪梨、西瓜生产基地建设为基础，打造综合生态康养、乡村旅游、采摘体验等功能为一体的水乡山地康养田园综合体。涉及紧水滩镇双垟村、龙门村</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15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雪梨产业提升工程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推动梨园提质扩面“三千”工程，新种扩建生态梨园1000亩（包括零星种植面积）；改造提升荒芜梨园2000亩（包括零星种植面积）；围绕着云和雪梨检测中心、交易中心、保鲜库扩容、分级包装能力提升、冷链物流建设、电商交易平台及设备等开展项目建设，实现数字化网络全覆盖</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1.330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1.330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(二)</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生态制造业</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117.300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68.800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13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丽水华宏钢铁制品有限公司优特钢生产项目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新增用地共约700亩，包括新建盘螺、双高棒生产线各1条（四轧、五轧）；对二轧、三轧进行技术改造；与杭钢合作，在购买230万吨产能指标的前提下，新增120t电弧炉生产线1套及配套的精炼、连铸和空分设备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60.000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30.000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部分完工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声光电玩具产业园项目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采用“声光电+木玩”方式打造新兴产业园，用地约137亩，新建工业标准厂房约20万平方米，综合服务大楼等配套用房5万平方米</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浙江启烨玩具有限公司年产400万套木制玩具项目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总用地面积51亩，主体功能包括10幢5层的小微企业园等，1幢办公楼，建筑总面积约9.5万㎡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“十三五”入园项目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新云木业集团有限公司60万套厨房家具玩具生产线建设项目等“十三五”期间入园续建企业项目</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5.700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2018-2022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经商局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15</w:t>
            </w:r>
          </w:p>
        </w:tc>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木玩产业提升</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木玩企业技改项目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项目投入10亿元，全力推进全县木玩企业转型升级、技术创新、机器换人、“零地技改”等。推进智能化技术改造，全县共新增工业机器人150余台，新增建筑面积15万余㎡</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2021-2030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部分企业完成技改</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经商局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16</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木制玩具创业孵化基地建设项目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总用地面积192亩，主体功能包括小微企业园、原辅料市场等；建筑总面积约30万㎡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8.500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17</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木玩智创空间</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规划用地面积240.3亩，拟打造木玩研发、销售、创意、商务接洽的集聚地；以及打造智慧化、人性化、多功能复合的5A级景区旅游集散中心</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2019-2025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7.000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城投集团</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18</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木玩产业创新服务综合体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总用地面积约118亩，主要建设木玩产业综合服务中心、人才公寓等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8.600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2019-2025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7.000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城投集团</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商品混凝土项目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用地30亩，建设预拌混凝土生产线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经商局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(三)</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生态服务业</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154.400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87.120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旅游及养生养老产业</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142.710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78.890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w:t>
            </w:r>
          </w:p>
        </w:tc>
        <w:tc>
          <w:tcPr>
            <w:tcW w:w="4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科创绿谷（云和湖旅游度假区）</w:t>
            </w: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云和生态养生文化村项目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规划总用地面积450亩，分霞晓桥、独山、云章区块，建筑面积约187600㎡。主要建设四星级酒店、会议中心、国学堂（书画院）、商务区、康复中心、运动娱乐馆所、文化村等项目</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14.000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2014-2022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6.000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21</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嘉瑞温泉度假村</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规划用地面积59亩，其中建设用地43.33亩，建筑面积20110㎡，建设集接待、餐饮、水疗、SPA等功能为一体的温泉会所和度假酒店</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1.600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2018-2022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1.100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完工并运营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1350" w:hRule="atLeast"/>
        </w:trPr>
        <w:tc>
          <w:tcPr>
            <w:tcW w:w="246"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22</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仙宫景区提升项目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用地面积220亩，基于瓯江山水诗之路黄金旅游带建设的大背景，依托仙宫景区现有旅游资源，建设瓯江风情5D体验馆、瓯江诗画山居、瓯江古艺风情街、汀州文化园、国际垂钓基地、仙宫鱼庄等特色项目，从而造以“瓯江风情”为IP特色的江岛休闲景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2020-2027</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国际垂钓基地、仙宫鱼庄、瓯江诗画山居等项目完工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1350" w:hRule="atLeast"/>
        </w:trPr>
        <w:tc>
          <w:tcPr>
            <w:tcW w:w="246"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23</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云和东旅游集散服务中心</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分两期实施，一期用地面积26.23亩，规划建筑面积23000㎡（含地下室6000㎡），建设研学旅游、休闲度假、旅游集散为一体的配套酒店；二期规划用地21.94亩，建筑面积9440㎡，建设游客接待中心、生态停车场、户外景观等内容</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2019-2022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0.700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完工并运营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24</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小顺区块旅游开发项目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以小顺钓鱼岛为中心，整合周边水域、小顺景区、小顺半岛坡地资源等，按照国家级旅游度假区标准，打造小顺片区旅游度假目的地</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2023-2030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钓鱼岛区块完工并运营，半岛区块主体完工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25</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三江口旅游综合体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建设用地面积约394亩，包括局村、溪口、三潭、木垟等四个区块，打造东瓯文化探秘区、最美乡愁体验区、船帮文化传承区、滨水野奢冥想区为一体的国际旅游度假目的地</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2023-2030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10.000 </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三潭、溪口区块完成建设并投入运营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26</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云和湖聚仙岛旅游综合体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规划范围105亩，其中建设用地25亩，建筑面积20745㎡，建设集服务中心、童话城堡、文旅休闲、商务度假、水上俱乐部为一体的特色酒店，设计客房150间，床位数220个</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2018-2022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完工并运营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27</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燕庐文化创作基地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规划总用地约38.8亩，其中建设用地约24.38亩，景观用地约14.42亩，总建筑面积约11000㎡，主要建设文化创作展示、客房餐厅以及配套景观等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1.100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1.100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28</w:t>
            </w:r>
          </w:p>
        </w:tc>
        <w:tc>
          <w:tcPr>
            <w:tcW w:w="4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宏地云缦康养度假区项目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规划旅游康养用地面积约900亩，总建筑面积约50万㎡；建设内容为集散服务中心、两家高星级酒店、度假公寓、健康文化产品、康养理疗中心、商务中心、生态农业、水上娱乐等基础配套设施</w:t>
            </w:r>
          </w:p>
        </w:tc>
        <w:tc>
          <w:tcPr>
            <w:tcW w:w="390" w:type="pct"/>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50.000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2021-2030</w:t>
            </w:r>
          </w:p>
        </w:tc>
        <w:tc>
          <w:tcPr>
            <w:tcW w:w="410" w:type="pct"/>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25.000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云曼酒店投入运营，完成项目一期、二期建设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1125" w:hRule="atLeast"/>
        </w:trPr>
        <w:tc>
          <w:tcPr>
            <w:tcW w:w="246"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29</w:t>
            </w:r>
          </w:p>
        </w:tc>
        <w:tc>
          <w:tcPr>
            <w:tcW w:w="422"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木玩童话小镇</w:t>
            </w:r>
          </w:p>
        </w:tc>
        <w:tc>
          <w:tcPr>
            <w:tcW w:w="474" w:type="pct"/>
            <w:tcBorders>
              <w:top w:val="single" w:color="000000" w:sz="4" w:space="0"/>
              <w:left w:val="single" w:color="000000" w:sz="4" w:space="0"/>
              <w:bottom w:val="nil"/>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小镇地标建筑</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用地约4.56公顷，主要功能城市和小镇规划展示馆、木玩展示综合馆、木玩博物馆、室内玩具体验区、玩具展销区，其他功能有木制玩具论坛、演艺、影视、会议、餐饮、酒店等，建设地方标志性建筑</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城投集团</w:t>
            </w:r>
          </w:p>
        </w:tc>
      </w:tr>
      <w:tr>
        <w:tblPrEx>
          <w:tblCellMar>
            <w:top w:w="0" w:type="dxa"/>
            <w:left w:w="108" w:type="dxa"/>
            <w:bottom w:w="0" w:type="dxa"/>
            <w:right w:w="108" w:type="dxa"/>
          </w:tblCellMar>
        </w:tblPrEx>
        <w:trPr>
          <w:trHeight w:val="1350" w:hRule="atLeast"/>
        </w:trPr>
        <w:tc>
          <w:tcPr>
            <w:tcW w:w="246"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22"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nil"/>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小镇配套（仙境丛林和小镇阳台）</w:t>
            </w:r>
          </w:p>
        </w:tc>
        <w:tc>
          <w:tcPr>
            <w:tcW w:w="381"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nil"/>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筑面积约10850㎡，道路广场铺装208464㎡，绿化面积29327㎡，湿地工程6300㎡，主要建设内容为园林花卉植物种植、道路广场铺装、空中栈道建设、音乐喷泉设置、景观灯光布设、配套商业建筑及公厕等。景观设施和灯光，以及广场给排水等</w:t>
            </w:r>
          </w:p>
        </w:tc>
        <w:tc>
          <w:tcPr>
            <w:tcW w:w="390"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1.150 </w:t>
            </w:r>
          </w:p>
        </w:tc>
        <w:tc>
          <w:tcPr>
            <w:tcW w:w="494"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1.150 </w:t>
            </w:r>
          </w:p>
        </w:tc>
        <w:tc>
          <w:tcPr>
            <w:tcW w:w="469"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城投集团</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全域旅游基础配套建设工程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云和湖旅游度假区游步道、景观节点打造、游线系统提升、标识标牌设计安装，以及云和梯田景区、聚仙岛、燕庐、白鹤尖等招商引资项目配套设施（饮用水、污水、强弱电等）建设</w:t>
            </w:r>
          </w:p>
        </w:tc>
        <w:tc>
          <w:tcPr>
            <w:tcW w:w="390" w:type="pct"/>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2020-2028</w:t>
            </w:r>
          </w:p>
        </w:tc>
        <w:tc>
          <w:tcPr>
            <w:tcW w:w="410" w:type="pct"/>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云和湖度假区基础配套设施基本成型</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白鹤尖4A级景区项目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按照国家4A级景区标准，以白鹤尖杜鹃科普园、风电、气象景观等为核心资源，统筹考虑黄源盆地空间，打造集高山露营、高山度假、杜鹃科普、天文气象等项目为一体的高山4A级景区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杜鹃科普、高山度假产品、景区服务设施等完成建设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云和梯田旅游区</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总用地570亩，建筑面积约5万㎡，主要建设一、二、三级游客中心、观云索道、大地景观改造等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10.420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2018-2024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7.500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所有项目完工投入运营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栈云山庄</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二期新建双拼建筑8栋，联排建筑2栋，合院建筑3栋，建筑面积约9213㎡；一期引进酒店经营管理，酒店建筑面积6039㎡</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佛儿岩4A级景区基础配套项目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包括新建畲族文化馆（建筑面积1860㎡）及周边环境整治、内部装修布展；8.6公里佛儿岩景区游步道及配套设施建设；村庄整治提升、通景公路提升等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0.540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0.440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安溪乡</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黄家畲清凉度假基地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依托黄家畲田园山水资源和高山气候，营建田园综合体、高端民宿群、拓展户外游戏</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2021-2030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完成部分酒店民宿和配套基础设施建设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云和县城市心肺（湿地生态整合利用）工程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用地面积约510亩，建设内容包括新建城市湿地公园及配套公共服务设施（水域约213亩），新建康养中心、产业创新基地、商服用房等约30万㎡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18.000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2022-2028</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完成湿地公园建设，启动康养区块建设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水投公司</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医养结合的社区老年公寓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用地30余亩，建设老年公寓、护理中心等5.6万㎡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民政局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梯田农耕展销综合体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项目建设一栋梯田农耕展销综合体，分为生产线展示区和体验区。总面积约2060㎡，建筑一栋综合楼，总建筑面积5453㎡</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世界玩具博物馆*木玩动漫自然研学基地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项目分为两个区块，建筑占地1000㎡，建筑总面积6600㎡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商贸物流</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8.000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5.100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智慧交通物流汽车服务综合体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用地面积134亩，主要包括汽车展销区、技能培训区、汽车检测区、城市配套区（公交首末站、小型停车场等）、智慧物流区、办公管理及配套服务区等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2023-2026</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部分完工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童话云和大花园综合配套公共服务中心</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总用地面积约17482㎡，建筑面积约69784㎡，主要为出租给国有企业、施工企业、设计公司、咨询公司、监理公司、测量单位及其他企业办公等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3.100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水投公司</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数字经济</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3.690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3.130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5G网络</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利旧现网基站改造升级436个基站，新增规划布局364个基站，十四五期间计划建设5G通信基站800个</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经商局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生态环境与健康管理信息化平台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新建水、空气、大气辐射、噪声等自动环境监测站，重点污染源安装在线监测设施，以及信息化平台建设</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2019-2023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生态环境分局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智慧市政</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路灯、污水、供水、桥梁等智能信息平台搭建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13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智慧园区</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主要建设各类智慧基础设施及应用，包括大数据平台、园区公共管理平台系统、应急联动平台、智慧管廊综合管理平台、视频监控系统、企业生产智能化管理平台、智慧照明系统、能源环境监测平台等。覆盖范围近期为3.5平方公里，远期扩展至12平方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2021-2035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完成现有园区的智慧基础设施建设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15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县域智慧医疗数据平台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包括应用及数据交换系统、应用交互系统、平台应用门户、病人主索引系统（EMPI)、主数据管理、数据整合系统、闭环监测系统、病人临床集成视图、运营管理智能分析系统、移动BI、口袋病历、临床决策支持系统（CDSS）、科研数据中心及科研平台、服务器、交换机、存储等硬件设备、接口改造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卫健局</w:t>
            </w:r>
          </w:p>
        </w:tc>
      </w:tr>
      <w:tr>
        <w:tblPrEx>
          <w:tblCellMar>
            <w:top w:w="0" w:type="dxa"/>
            <w:left w:w="108" w:type="dxa"/>
            <w:bottom w:w="0" w:type="dxa"/>
            <w:right w:w="108" w:type="dxa"/>
          </w:tblCellMar>
        </w:tblPrEx>
        <w:trPr>
          <w:trHeight w:val="24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数字乡村建设项目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1.建立云和县数字三农协同应用平台、“肥药两制”数字化平台、农林全查询管理系统、乡村治理数字化平台、农业特色产业全产业链数字化业务系统等系统及相关配套设施设备；</w:t>
            </w:r>
            <w:r>
              <w:rPr>
                <w:rFonts w:cs="Times New Roman"/>
                <w:color w:val="auto"/>
                <w:kern w:val="0"/>
                <w:sz w:val="18"/>
                <w:szCs w:val="18"/>
                <w:highlight w:val="none"/>
                <w:lang w:bidi="ar"/>
              </w:rPr>
              <w:br w:type="textWrapping"/>
            </w:r>
            <w:r>
              <w:rPr>
                <w:rFonts w:cs="Times New Roman"/>
                <w:color w:val="auto"/>
                <w:kern w:val="0"/>
                <w:sz w:val="18"/>
                <w:szCs w:val="18"/>
                <w:highlight w:val="none"/>
                <w:lang w:bidi="ar"/>
              </w:rPr>
              <w:t>2.建设数字化种养基地、数字化工厂，培育农产品电商、“肥药两制”主体，完善电子商务配送站点、规模主体基地网络体系建设等；</w:t>
            </w:r>
            <w:r>
              <w:rPr>
                <w:rFonts w:cs="Times New Roman"/>
                <w:color w:val="auto"/>
                <w:kern w:val="0"/>
                <w:sz w:val="18"/>
                <w:szCs w:val="18"/>
                <w:highlight w:val="none"/>
                <w:lang w:bidi="ar"/>
              </w:rPr>
              <w:br w:type="textWrapping"/>
            </w:r>
            <w:r>
              <w:rPr>
                <w:rFonts w:cs="Times New Roman"/>
                <w:color w:val="auto"/>
                <w:kern w:val="0"/>
                <w:sz w:val="18"/>
                <w:szCs w:val="18"/>
                <w:highlight w:val="none"/>
                <w:lang w:bidi="ar"/>
              </w:rPr>
              <w:t>3.提高智慧农业监管水平，开展信息进村入户工程</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0.190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0.180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完成一期建设，建立肥药两制数字化平台等建设，建设种养基地、数字工厂</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云和县气象保障及监测预警能力提升工程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乡村振兴气象保障服务，人工影响天气能力和丽水国家气象公园试点建设，云和县气象台站周边环境综合改造，高空垂直探测网、自动站网加密、监测预警业务支撑系统建设</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气象局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(四)</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产业平台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122.955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17.850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49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工业园区公共服务中心项目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占地约3329㎡，主要建设园区企业服务中心、招商、社会事务等服务中心、智慧管理中心大楼以及配套地下车库、绿化等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0.475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0.370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工业园区基础配套设施建设及提升</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污水零直排改造、道路改造、公共设施建设（健身广场、金龙鱼公园等等）、零星基础设施改造等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云和县生态产品价值实现示范区建设项目（云景生态产业园）</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用地约11000亩。该区域着重发展童话木玩、现代农旅、现代装备制造、商贸仓储物流、未来社区等多种业态共存的融合发展的示范区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90.000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2022-2035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一期赤龙区块主体工程建设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沙溪区块移民湾地块开发</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平整场地172.77亩及配套设施建设，新增工业用地140.25亩</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0.130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0.130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老木制玩具城区块“退二优二”改造</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规划用地618亩，涉及企业201家，总建筑面积约50万㎡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30.000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2022-2030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完成部分区块改造</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杨柳河园区周边地块开发</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1.城西路与白龙山路交叉口东北侧地块低丘缓坡开发工程：开发面积约73亩，可新增工业用地53亩;</w:t>
            </w:r>
            <w:r>
              <w:rPr>
                <w:rFonts w:cs="Times New Roman"/>
                <w:color w:val="auto"/>
                <w:kern w:val="0"/>
                <w:sz w:val="18"/>
                <w:szCs w:val="18"/>
                <w:highlight w:val="none"/>
                <w:lang w:bidi="ar"/>
              </w:rPr>
              <w:br w:type="textWrapping"/>
            </w:r>
            <w:r>
              <w:rPr>
                <w:rFonts w:cs="Times New Roman"/>
                <w:color w:val="auto"/>
                <w:kern w:val="0"/>
                <w:sz w:val="18"/>
                <w:szCs w:val="18"/>
                <w:highlight w:val="none"/>
                <w:lang w:bidi="ar"/>
              </w:rPr>
              <w:t>2.杨柳河三期南侧东城地块低丘缓坡开发工程:开发面积约80亩，可新增工业用地60亩</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二</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交通设施</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173.826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74.040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“温武吉”铁路云和段</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全长689公里，丽水境内长约118公里，云和境内21公里。国铁I级双线，设计时速200公里。站场规划区域2平方公里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27.300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2023-2027</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13.000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工程施工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丽云宁铁路云和段</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丽云铁路总长61.8公里，云和段约29公里，时速200公里，国铁I级双线</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80.000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2024-2027</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工程施工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云龙公路（新殿垟至龙门段）改建工程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改建提升四级公路10.072公里，新建隧道5座、桥梁5座等</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5.158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2018-2021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紧水滩库区水上服务站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建设斜坡码头1座，含纵向滑道3段、船台2处；建设陆域场地和仓库及服务中心等</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0.141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0.060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59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石塘交通中心码头工程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泊位20个和海事泊位1个、污水泊位1个、滑道船台1个，陆域建筑、接线道路以及监控设施、水电设施等相关配套设施</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0.648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2018-2021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235国道云和段改建工程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全长34.8公里，一级公路16.2公里、二级公路18.6公里，隧道10.5座、桥梁34座</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29.790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29.790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322国道云和后山至麻垟段改建工程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二级公路18公里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2025-2030</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争取开工建设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规划仙居至景宁省道（原328省道）云和局村至大徐段</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一级公路1.43公里、二级公路2.2公里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2.800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2.800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主体工程基本完成</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规划仙居至景宁省道（原328省道）云和朱村口至规溪亭段</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一级公路4.3公里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4.600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2024-2027</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完成路基工程</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局龙线改建工程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局村至金水坑段改建二级公路6.53公里、提升3.62公里，金水坑至龙门段改建4公里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6.000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2022-2027</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3.700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完成金水坑隧道等部分路段改建</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黄安线提升改造工程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二级公路2.09公里、四级公路3.38公里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0.880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0.880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梅下线改建提升工程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拟对长田至雾溪段改造提升，对平 阳岗至下武段进行改建。改建里程 约 11 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2025-2028</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根据需要 对部分路 段开展提 升改造</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G25长深高速（丽龙段）赤石互通改建工程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增设龙泉方向一对出入匝道</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公交车总站（公交首末站）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建设公交车总站和首末站3处，占地10000m2</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2024-2026</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部分完工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交投公司</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69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雾溪通乡公路瓶颈路畅通工程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拟新建工业园区经长田林场村沿保丰渠的三级公路1公里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0.190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0.190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西埠线提升改造</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改造提升三级公路1公里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2024-2026</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部分完工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云和湖玉溪库区航道提升改造工程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拟对玉溪库区航道进行提升改造，包括水上服务站业务用房、船员休息室、厕所、锚泊区、岸电、油污水收集、停车区、绿化、小品以及渡埠码头提升改造、航道疏浚等内容</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国省道养护工程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对云和境内约80公里国省道进行大中修</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农村公路养护工程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对云和境内约200公里农村公路进行大中修和水毁修复等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0.360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0.360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农村公路安全生命防护工程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对云和县境内农村公路安全生命防护设施进行完善提升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0.260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0.260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农村公路提升改造工程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对云和境内约100公里农村公路进行改造提升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农村联网公路工程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新建农村断头路、自然村公路等约30公里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三</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城乡统筹领域</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123.150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94.230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(一)</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市政基础设施</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14.400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12.530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27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城市道路工程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祥云街东西延伸段(大坪路至仙宫大道、新建路至城西路)、城东南路(复兴路至城南九年一贯制学校)、龙母路(城南路至复兴路、复兴路至祥云街)、狮山路、公园路(云杨路至梨园路)、云雾路(城南路至高铁站)、解放西路(城西路-老解放街)道路、温武高铁云和站前路（大坪路至创新大道）、 新建南路延伸、城南社区卫生服务中心北侧道路二期、南山路、翠屏街、白龙山路等。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6.000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祥云街东西延伸段、大坪路、南山路、龙母路、南山路、公园路、狮山路等道路完工，高铁站前路、云雾路等视高铁进展启动建设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城市危桥改造</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狮山路2号桥等危桥拆改建，C级以下桥梁整治</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79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城市空间利用和改造</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体育场路公共停车场（实验小学地下空间）车位134个及运动场修复；县府大院立体车库，50个车位；市场监管局立体车库，62个车位；三中地下空间等其他闲置空间建设立体、临时等停车场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1.800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1.780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城市街景风貌改造</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道路街景改造、桥梁改造、管线改造等；基础设施维护、零星修理；城市亮化；城市特色标识综合工程、城市小品雕塑，交通指示，旅游导向，城市广告等城市特色工程等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采真里4A级景区创建（新华街历史文化街区）</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位于县城新华街及两侧区块，主要包括石门桥区块、历史文化街服务中心、老农械厂、老体委等主要区块节点改造，配套基础设施提升，文化场馆建设，国有资产改造，业态培育等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1.800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15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国家园林城市创建</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一是对凤凰山公园进行改造提升，建设全民健身公园；二是木玩主题公园等整治提升，满足市民休闲需求；三是利用街头、城市闲置地、小区绿地建设以“老云和”、“新童话”为主题的微景观公园（口袋公园）；四是环浮云溪等城市绿道建设；五是城市道路绿化建设、改造，提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2018-2025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部分完成</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城市供水管网改造及延伸工程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城区8个区块供水管网的提升改造以及15个城郊村的供水管网延伸接入，共铺设供水管道约99千米，新建无负压设备泵房9座，惠及人口4.14万人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水投公司</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雾溪制水厂改造提升工程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新建2万吨/日的水处理设施和6万吨/日的污水污泥处理设施，主要包括反应沉淀清水池、V型滤池、回用水池、污泥浓缩池、脱水机房、加药、电气及自控设备等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水投公司</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(二)</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城市更新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101.000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75.000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城市有机更新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农技站、大庆寺、下前溪、南门东、白水区块等棚户区改造，青阳花苑南侧地块、象山原新云厂等区块房地产开发</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55.000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2019-2025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45.000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小徐未来社区</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规划单元73公顷，实施单元30公顷，建筑面积约40万㎡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35.000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完成小区区块改造</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老旧小区综合改造</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2005年底前建成的城镇老旧小区改造</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2019-2030</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部分小区完成改造</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建筑业总部大楼</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占地约30亩，拟引进外地企业与云和本地企业投资建设云和建筑业总部大楼，专项用于企业办公建筑设计、研发、商务、仓储、人才公寓用房等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89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南铂湾新型城镇示范安置小区</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用地约140亩，建筑面积约25万平房米</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8.000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8.000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征收中心</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(三)</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美丽乡村及新农村建设</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7.750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6.700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15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美丽城镇建设</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按照“十个一”标志性要求（一条对外交通通道；一条生态绿道；一张雨污分流收集处理网；一张垃圾分类收集处置网；一个商贸场所；一个文体场所；一个学前教育和义务教育体系；一个基本医疗卫生和养老服务体系；一个基层社会治理体系；一个镇村生活圈体系），完成六个乡镇美丽城镇创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完成6个乡镇创建任务</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18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新时代美丽乡村</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完善村庄基础设施建设、人居环境整治、绿化提升、小品景观提升。新时代美丽乡村达标村达到71个（其中精品村达到30个）、花园乡村精品村18个</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2016-2025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累计完成新时代美丽乡村达标村71个（其中精品村达到30个）、花园乡村精品村18个</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15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未来乡村</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以适应推进农业、农村现代化需要及农民群众日益增长的美好生活需要为着力点，保持乡村、地域和民族特色，把现代文明同山水田园风光有机结合，围绕乡村环境生态化，生产、生活现代化要求，打造未来乡村示范区。示范区主要分滨湖组团、云坛溪组团、梯田组团</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hint="eastAsia" w:cs="Times New Roman"/>
                <w:color w:val="auto"/>
                <w:kern w:val="0"/>
                <w:sz w:val="18"/>
                <w:szCs w:val="18"/>
                <w:highlight w:val="none"/>
                <w:lang w:bidi="ar"/>
              </w:rPr>
            </w:pPr>
            <w:r>
              <w:rPr>
                <w:rFonts w:cs="Times New Roman"/>
                <w:color w:val="auto"/>
                <w:kern w:val="0"/>
                <w:sz w:val="18"/>
                <w:szCs w:val="18"/>
                <w:highlight w:val="none"/>
                <w:lang w:bidi="ar"/>
              </w:rPr>
              <w:t>完</w:t>
            </w:r>
            <w:r>
              <w:rPr>
                <w:rFonts w:hint="eastAsia" w:cs="Times New Roman"/>
                <w:color w:val="auto"/>
                <w:kern w:val="0"/>
                <w:sz w:val="18"/>
                <w:szCs w:val="18"/>
                <w:highlight w:val="none"/>
                <w:lang w:bidi="ar"/>
              </w:rPr>
              <w:t>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18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历史文化村落保护利用</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在2016-2022年间，完成建设完成第六批、第七批、第八批、第九批、第十批历史文化村落保护利用周期性工程量，并对前几批项目进行巩固提升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0.750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2016-2022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完成建设完成第七、八、九、十批历史文化村落保护利用，并对前几批项目进行巩固提升</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崇头镇大派区块旧村改造工程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完成崇头村大派区块103户447人的旧村改造</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1.800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1.800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崇头镇梅源梅花主题休闲公园</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用地1万㎡（15亩），露营基地1800㎡、篝火广场1500㎡、儿童游乐场2000㎡、水系2000㎡、绿地及其他2700㎡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四</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生态环保领域</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69.370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43.615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(一)</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水利设施</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18.637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14.177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龙泉溪治理二期工程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建设护岸13.28km</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0.960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0.900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浮云溪流域综合治理工程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治理河长22.58公里，建设护岸45公里，输水隧洞15公里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7.500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2017-2024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云和县龙泉溪云和段综合治理工程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岸坡整治7.8公里，管理道路31公里</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72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99</w:t>
            </w:r>
          </w:p>
        </w:tc>
        <w:tc>
          <w:tcPr>
            <w:tcW w:w="422" w:type="pct"/>
            <w:vMerge w:val="restar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小流域治理</w:t>
            </w: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安溪流域综合治理工程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治理河道长度5公里，对岸坡进行生态化整治</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72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100</w:t>
            </w:r>
          </w:p>
        </w:tc>
        <w:tc>
          <w:tcPr>
            <w:tcW w:w="422"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泉溪流域综合治理工程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治理河长15公里，建设堤防及护岸16公里，新建截洪沟1.9公里，改造提升堰坝14座，修复湿地3.9万㎡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0.477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0.477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72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101</w:t>
            </w:r>
          </w:p>
        </w:tc>
        <w:tc>
          <w:tcPr>
            <w:tcW w:w="422"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云坛溪流域综合治理工程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治理河道长度4.9公里，对岸坡进行生态化改造</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72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102</w:t>
            </w:r>
          </w:p>
        </w:tc>
        <w:tc>
          <w:tcPr>
            <w:tcW w:w="422"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梧桐坑流域综合治理工程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新建堤防和护岸8km</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103</w:t>
            </w:r>
          </w:p>
        </w:tc>
        <w:tc>
          <w:tcPr>
            <w:tcW w:w="422"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雾溪流域综合治理工程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治理河道长度3公里，对岸坡进行生态化改造</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104</w:t>
            </w:r>
          </w:p>
        </w:tc>
        <w:tc>
          <w:tcPr>
            <w:tcW w:w="422"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沙溪流域综合治理工程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治理河长5公里，对岸坡进行生态化改造</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105</w:t>
            </w:r>
          </w:p>
        </w:tc>
        <w:tc>
          <w:tcPr>
            <w:tcW w:w="422"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桥头坑流域综合治理工程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新建堤防和护岸5km</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水土流失（山洪沟）治理工程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实施小顺大坑等3条山洪沟治理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144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县域供水工程（农村饮用水提标达标）</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云和县城、崇头镇、石塘镇、紧水滩镇、安溪乡、赤石乡水厂扩建及管网延伸；规模化集中供水工程建设、小型供水工程升级改造、老旧供水工程更新改造、信息化管理能力的提升（监测设施配备）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1.100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0.900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72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沈坑门水库</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在崇溪上游严坑新建小型水库一座，总库容40万立方米，解决崇头水厂供水，同时修复下游水生态</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0.800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109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小型水库除险加固及山塘整治</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3座水库除险加固，34座山塘综合整治</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48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110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农村水系整治</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整治10个农村水系（以乡镇、街道为单位），治理河道50条</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(二)</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环保设施建设</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10.093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8.250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111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城市污水处理厂清洁排放技术改造及城区污水零直排工程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污水处理厂清洁排放生产技术改造工程，城市道路、生活小区、城郊村、城中村雨污分流、污水截污纳管及污水“零直排”建设</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4.670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2019-2022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112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生活垃圾资源化处置利用项目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总用地面积约18.99亩，主要建设200t/d垃圾分选+200t/d垃圾压缩中转处置中心；另配置清运能力为20t/d餐厨垃圾直运体系，并对现有37个垃圾中转站进行提升改造和收运体系整合</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0.933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0.930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113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农村生活污水处理设施新建及标准化运维改造</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新建农村生活污水处理设施36个，现有处理设施标准化运维改造90个</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114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城市污水处理厂扩容（第二污水处理厂）</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新增污水处理能力20000m³/d</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1.400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1.400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115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崇头镇污水处理厂项目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完成处理能力1500t/d污水处理厂及配套污水管网</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0.420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116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赤石污水处理厂及尾水排放工程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规划服务人口20000人，处理能力近期约500t/d，远期扩容至2700t/d</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0.670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0.670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赤石乡</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(三)</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生态涵养建设</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13.560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8.548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117 </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大搬快聚富民安居工程安置小区项目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在白龙山街道大坪及岗头、元和街道、石塘镇规划建设4个安置小区，总用地面积约12878㎡，建设安置房1257套，安置群众约6430人，总建筑面积约28万㎡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7.700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6.200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69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118 </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美丽林相建设项目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建设彩色珍贵健康林70万亩，建立8万亩优质大径材、6万亩珍贵用材林基地</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5.460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2016-2035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1.948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完成美丽林相建设26.3万亩</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林业发展中心</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119 </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饮用水源地生态治理</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主要针对雾溪水库保护区范围和玉溪水库云和范围内的二级保护区开展生态拦截治理</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生态环境分局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(四)</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绿色能源</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27.080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12.640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紧水滩混合式抽水蓄能电站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紧水滩电厂位于浙江省丽水市紧水滩镇，瓯江上游大溪的支流龙泉溪，上水库利用已建紧水滩水电站，下水库利用已建石塘电站，装机容量为29.7万千瓦，年发电量约为3.34亿千瓦时</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15.800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2025-2027</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开工建设</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675" w:hRule="atLeast"/>
        </w:trPr>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121</w:t>
            </w:r>
          </w:p>
        </w:tc>
        <w:tc>
          <w:tcPr>
            <w:tcW w:w="422" w:type="pct"/>
            <w:vMerge w:val="restar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光伏工程</w:t>
            </w: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整县分布式光伏发电项目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拟建设装机100兆瓦屋项光伏发电项目</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4.000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675" w:hRule="atLeast"/>
        </w:trPr>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22"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nil"/>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农光互补地面光伏电站项目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新建装机容量为50MW的农光互补地面光伏电站项目</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完成50兆瓦</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云和县“十四五”配电网工程项目包</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 “十四五”期间针对云和县配电网存在的问题进行新建及改造，提升云和电网可靠性，提升供电质量</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3.000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电力公司</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城市天然气利用工程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新建LNG气化站1座、天然气门站1座，敷设市政燃气管道约45km</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0.780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2014-2025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0.140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五</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公共服务领域</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21.255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19.506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(一)</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教育</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13.971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13.666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实验小学分校</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新建一所36个班三类完全小学用地面积约25726㎡，总建筑面积约27530㎡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1.677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1.600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第四中学</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按浙江省九年制义务教育普通学校I类建设标准建设，每个年级10个班，每班40人规模，需用地面积约66700㎡，建筑面积40800㎡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2.2</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中国幼教创意园</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总用地面积约30亩，总建筑面积约3.2万㎡，主要建设木玩研究展示中心（含国际玩具交流中心）、12班幼儿园用房、幼师培训中心及配套服务设施</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2.100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2.100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中等职业技术学校产教融合中心二期工程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占地面积约14277㎡，新建木玩产教融合大楼，建筑占地面积约3000㎡，建筑面积14000㎡。新建汽修产教融合大楼，建筑占地约1500㎡， 建筑面积4500㎡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1.520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1.520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27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新建住宅小区配套幼儿园建设项目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一、大庆寺区块配套幼儿园：12个班级（其中托幼3个班级），总用地面积约6500㎡，建筑面积约4500㎡，估算投资3500万元；                                                二、白水区块配套幼儿园：15个班级（其中托幼3个班级），总用地面积7500㎡左右，建筑面积约4500㎡，估算投资4500万元；                                                三、小徐区块配套幼儿园：15个班级（其中托幼3个班级），总用地面积7500㎡左右，建筑面积约4500㎡，估算投资4500万元；</w:t>
            </w:r>
            <w:r>
              <w:rPr>
                <w:rFonts w:cs="Times New Roman"/>
                <w:color w:val="auto"/>
                <w:kern w:val="0"/>
                <w:sz w:val="18"/>
                <w:szCs w:val="18"/>
                <w:highlight w:val="none"/>
                <w:lang w:bidi="ar"/>
              </w:rPr>
              <w:br w:type="textWrapping"/>
            </w:r>
            <w:r>
              <w:rPr>
                <w:rFonts w:cs="Times New Roman"/>
                <w:color w:val="auto"/>
                <w:kern w:val="0"/>
                <w:sz w:val="18"/>
                <w:szCs w:val="18"/>
                <w:highlight w:val="none"/>
                <w:lang w:bidi="ar"/>
              </w:rPr>
              <w:t xml:space="preserve">四、南门区块配套幼儿园：12个班级（其中托幼3个班级），总用地面积约6500㎡，建筑面积约4500㎡，估算投资3500万元                                              </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1.600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2022-2025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1.600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129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大坪小区幼儿园</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用地面积10195㎡，建设12个班级幼儿园教学用房及配套设施，地上建筑面积6273㎡，地下建筑面积2367㎡。</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0.657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新城幼儿园工程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房屋购置2940㎡，以及装修改造、设备采购等。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0.150 </w:t>
            </w:r>
          </w:p>
        </w:tc>
        <w:tc>
          <w:tcPr>
            <w:tcW w:w="4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131</w:t>
            </w:r>
          </w:p>
        </w:tc>
        <w:tc>
          <w:tcPr>
            <w:tcW w:w="422"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中小学校舍提升工程</w:t>
            </w: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云和三中学生宿舍及功能教室改建工程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地上建筑面积2896㎡，地下建筑面积590㎡。一层功能教室，二至五层宿舍</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0.136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0.106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132</w:t>
            </w:r>
          </w:p>
        </w:tc>
        <w:tc>
          <w:tcPr>
            <w:tcW w:w="422"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江滨实验小学功能教室新建工程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建筑面积2168㎡，建筑层数四层，一层为图书室、阅览室，二、三层为四个美术教室和两个教师办公室，四层为多功能报告厅</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133</w:t>
            </w:r>
          </w:p>
        </w:tc>
        <w:tc>
          <w:tcPr>
            <w:tcW w:w="422"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崇头镇中心小学功能教室及学生宿舍新建工程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建筑占地面积930㎡，建筑总面积2257㎡。一层为专业教学用房，二、三层学生与教师宿舍。</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0.141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15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134</w:t>
            </w:r>
          </w:p>
        </w:tc>
        <w:tc>
          <w:tcPr>
            <w:tcW w:w="422"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第二中学校舍改造提升工程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新建综合教学楼：总建筑面积约2500㎡，包括专用教室、多功能教室，总投资约1300万元；2.立面改造：建筑外墙约19000㎡装饰改造提升，空调机位改造等，总投资350万元；3.宿舍改造：改造110间学生宿舍，容纳学生550人，建筑面积约3000㎡，总投资估算450万元</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0.210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0.210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135</w:t>
            </w:r>
          </w:p>
        </w:tc>
        <w:tc>
          <w:tcPr>
            <w:tcW w:w="422"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城西小学风雨球场工程项目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新建风雨球场，建筑面积约4692㎡。在风雨球场、教学楼、食宿楼间设置天桥，面积约100㎡。附属工程：室外篮球场恢复重做800㎡；金属围网500㎡；道路恢复800㎡；绿地恢复1200㎡。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0.340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0.340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13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136</w:t>
            </w:r>
          </w:p>
        </w:tc>
        <w:tc>
          <w:tcPr>
            <w:tcW w:w="422"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梅源中学校舍提改造升工程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1.教学楼及学生宿舍改建工程：原教学楼、宿舍、公厕拆除，在原址新建教学楼及综合楼、宿舍楼。教学楼建筑面积约4154㎡，宿舍楼建筑面积约4804㎡。估算投资5000万元                                                               2.教师周转宿舍工程：建筑总面积2366㎡，44间标准宿舍。估算投资1200万元。</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0.620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0.620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137</w:t>
            </w:r>
          </w:p>
        </w:tc>
        <w:tc>
          <w:tcPr>
            <w:tcW w:w="422"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实验小学改扩建工程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计划新征用地约4500㎡（估算征收约4000万元，建筑面积约6558.14㎡，其中民房及厂房3285.81㎡，国有资产3272.33㎡），新建教学楼、综合楼、食堂以及连廊等附属建筑，总建筑面积约12700㎡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1.200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1.200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18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138</w:t>
            </w:r>
          </w:p>
        </w:tc>
        <w:tc>
          <w:tcPr>
            <w:tcW w:w="422"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江滨实验小学改扩建工程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计划新征用地约5000㎡（估算征收费用约10300万元，建筑面积约11430㎡，其中民房10300㎡，国有资产1130㎡），总建筑面积约7450㎡。主要内容为：新建食堂建筑面积约3250㎡，拆除重建1栋教学楼约3500㎡，新建门卫连廊建筑面积约700㎡，新建篮球场1个，排球场2个，以及其他室外附属工程。</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0.550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139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县委党校迁建工程（红绿融合培训基地）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用地16898㎡，建设综合楼、教学楼、报告厅、宿舍、风雨球场等，总建筑面积约13172㎡；以及及信息化建设</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0.770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0.770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textAlignment w:val="center"/>
              <w:rPr>
                <w:rFonts w:cs="Times New Roman"/>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县委党校</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(二)</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卫生</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3.240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2.997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人民医院病房扩建工程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总用地面积9984㎡，主要建设一幢病房楼、供氧机房以及室外配套设施，总建筑面积7938㎡（地上建筑面积6265㎡，地下建筑面积1673㎡）</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0.530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0.480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卫健局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中医医院迁建工程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按二级甲等标准建设，总用地面积约22387㎡，地上建筑面积约22500㎡，地下建筑面积约7100㎡，设计床位250张</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1.998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1.900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卫健局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城北社区卫生服务中心项目</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总用地面积约4035㎡，总建筑面积约3841㎡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0.304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0.301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卫健局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崇头镇中心卫生院拆建工程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总用地面积1218㎡，总建筑面积3381㎡</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0.213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0.120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卫健局</w:t>
            </w: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人民医院公共卫生应急保障楼</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占地面积780㎡，总建筑面积4900㎡，包括车库、公共卫生应急会诊中心、应急物资储备中心及公共卫生管理中心、应急医务人员值班宿舍</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0.196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0.196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卫健局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(三)</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文化体育</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1.840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1.590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145</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凤凰山全民健身公园</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一期新建西侧入口、游步道等及法制文化园改造；二期完成西段游步道、水库周边无障碍环库游道、部分路灯安装、东部部分游步道，新增东侧公厕一座；三期健身场馆建设和健身设施提升</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0.280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2018-2022</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0.230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67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146</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童话云和大花园绿道网建设及提升</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现有绿道的改造提升、大中修；部分绿道连接线以及绿道配套的驿站、公厕等配套设施建设</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住建局、水利局、交通局、发改局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147</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县妇女儿童活动中心</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建筑面积约1200㎡，新建或利用现有场所改建</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0.060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0.060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妇联</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148</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广播转播台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用地面积约9.25万平方米，其中建设用地约0.78万平方米。主要建设内容包括场区（技术业务用房、附属用房建筑面积约2200平方米）、地网及附属设施、广播发射工艺系统、连接道路等</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1.000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水投公司</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(四)</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社会保障</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0.643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0.355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90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149</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残疾人托养及康复中心</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托养中心用地面积3722㎡，建筑面积4870㎡，设置托养床位90张；康复中心用地面积3963㎡，建筑面积4843㎡，设康复床位70张</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0.538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2020-2021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残联</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150</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流浪乞讨救助站</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用地面积1500㎡，建筑面积1000㎡</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0.105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2023-2024</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0.105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民政局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(五)</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公共安全</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1.561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kern w:val="0"/>
                <w:sz w:val="18"/>
                <w:szCs w:val="18"/>
                <w:highlight w:val="none"/>
                <w:lang w:bidi="ar"/>
              </w:rPr>
            </w:pPr>
            <w:r>
              <w:rPr>
                <w:rFonts w:cs="Times New Roman"/>
                <w:b/>
                <w:bCs/>
                <w:color w:val="auto"/>
                <w:kern w:val="0"/>
                <w:sz w:val="18"/>
                <w:szCs w:val="18"/>
                <w:highlight w:val="none"/>
                <w:lang w:bidi="ar"/>
              </w:rPr>
              <w:t xml:space="preserve">0.898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textAlignment w:val="center"/>
              <w:rPr>
                <w:rFonts w:cs="Times New Roman"/>
                <w:b/>
                <w:bCs/>
                <w:color w:val="auto"/>
                <w:kern w:val="0"/>
                <w:sz w:val="18"/>
                <w:szCs w:val="18"/>
                <w:highlight w:val="none"/>
                <w:lang w:bidi="ar"/>
              </w:rPr>
            </w:pP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151</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公安局执法“三个中心”技术用房工程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总用地面积4216㎡、建筑面积7163㎡</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0.363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2021-2023</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0.363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公安局</w:t>
            </w:r>
          </w:p>
        </w:tc>
      </w:tr>
      <w:tr>
        <w:tblPrEx>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152</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2029工程二期</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新建坑道式人防工程，总建筑面积2955㎡</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0.520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2019-2021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0.150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45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153</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消防大队迁建工程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续建</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消防大队迁建工程，总建筑面积8914㎡</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0.573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2018-2021</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0.280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完工投用</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消防救援大队</w:t>
            </w:r>
          </w:p>
        </w:tc>
      </w:tr>
      <w:tr>
        <w:tblPrEx>
          <w:tblCellMar>
            <w:top w:w="0" w:type="dxa"/>
            <w:left w:w="108" w:type="dxa"/>
            <w:bottom w:w="0" w:type="dxa"/>
            <w:right w:w="108" w:type="dxa"/>
          </w:tblCellMar>
        </w:tblPrEx>
        <w:trPr>
          <w:trHeight w:val="1125"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154</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民爆仓库迁建工程</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新开工</w:t>
            </w:r>
          </w:p>
        </w:tc>
        <w:tc>
          <w:tcPr>
            <w:tcW w:w="1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新建2座工业炸药库（总计算药量28t）、2座工业雷管库（总计算药量13万发）、2座工业雷管发放间、1座消防蓄水池、1座岗哨、1座库区值班室、1座箱式变电所及其他配套辅助设施</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0.105 </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2023-2025</w:t>
            </w:r>
          </w:p>
        </w:tc>
        <w:tc>
          <w:tcPr>
            <w:tcW w:w="4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0.105 </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完工</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发改局</w:t>
            </w:r>
          </w:p>
        </w:tc>
      </w:tr>
    </w:tbl>
    <w:p>
      <w:pPr>
        <w:ind w:firstLine="0" w:firstLineChars="0"/>
        <w:rPr>
          <w:rFonts w:cs="Times New Roman"/>
          <w:color w:val="auto"/>
          <w:highlight w:val="none"/>
        </w:rPr>
      </w:pPr>
    </w:p>
    <w:p>
      <w:pPr>
        <w:ind w:firstLine="655"/>
        <w:rPr>
          <w:rFonts w:cs="Times New Roman"/>
          <w:color w:val="auto"/>
          <w:highlight w:val="none"/>
        </w:rPr>
      </w:pPr>
      <w:bookmarkStart w:id="236" w:name="_Toc10603"/>
      <w:r>
        <w:rPr>
          <w:rFonts w:cs="Times New Roman"/>
          <w:color w:val="auto"/>
          <w:highlight w:val="none"/>
        </w:rPr>
        <w:br w:type="page"/>
      </w:r>
    </w:p>
    <w:p>
      <w:pPr>
        <w:pStyle w:val="11"/>
        <w:ind w:firstLine="0" w:firstLineChars="0"/>
        <w:outlineLvl w:val="0"/>
        <w:rPr>
          <w:rFonts w:cs="Times New Roman"/>
          <w:color w:val="auto"/>
          <w:highlight w:val="none"/>
        </w:rPr>
      </w:pPr>
      <w:bookmarkStart w:id="237" w:name="_Toc17935"/>
      <w:bookmarkStart w:id="238" w:name="_Toc28186"/>
      <w:r>
        <w:rPr>
          <w:rFonts w:cs="Times New Roman"/>
          <w:color w:val="auto"/>
          <w:highlight w:val="none"/>
        </w:rPr>
        <w:t>附件</w:t>
      </w:r>
      <w:bookmarkEnd w:id="234"/>
      <w:bookmarkEnd w:id="235"/>
      <w:bookmarkEnd w:id="236"/>
      <w:bookmarkEnd w:id="237"/>
      <w:bookmarkEnd w:id="238"/>
      <w:r>
        <w:rPr>
          <w:rFonts w:cs="Times New Roman"/>
          <w:color w:val="auto"/>
          <w:highlight w:val="none"/>
        </w:rPr>
        <w:t>3</w:t>
      </w:r>
    </w:p>
    <w:p>
      <w:pPr>
        <w:pStyle w:val="11"/>
        <w:ind w:firstLine="0" w:firstLineChars="0"/>
        <w:jc w:val="center"/>
        <w:outlineLvl w:val="0"/>
        <w:rPr>
          <w:rFonts w:eastAsia="黑体" w:cs="Times New Roman"/>
          <w:color w:val="auto"/>
          <w:highlight w:val="none"/>
        </w:rPr>
      </w:pPr>
      <w:bookmarkStart w:id="239" w:name="_Toc8215"/>
      <w:bookmarkStart w:id="240" w:name="_Toc24752"/>
      <w:r>
        <w:rPr>
          <w:rFonts w:eastAsia="黑体" w:cs="Times New Roman"/>
          <w:color w:val="auto"/>
          <w:sz w:val="28"/>
          <w:szCs w:val="28"/>
          <w:highlight w:val="none"/>
        </w:rPr>
        <w:t>云和县“十四五”重大建设项目（谋划类）</w:t>
      </w:r>
      <w:bookmarkEnd w:id="239"/>
      <w:bookmarkEnd w:id="240"/>
    </w:p>
    <w:p>
      <w:pPr>
        <w:ind w:firstLine="0" w:firstLineChars="0"/>
        <w:jc w:val="right"/>
        <w:rPr>
          <w:rFonts w:cs="Times New Roman"/>
          <w:color w:val="auto"/>
          <w:sz w:val="24"/>
          <w:szCs w:val="20"/>
          <w:highlight w:val="none"/>
        </w:rPr>
      </w:pPr>
      <w:r>
        <w:rPr>
          <w:rFonts w:cs="Times New Roman"/>
          <w:color w:val="auto"/>
          <w:sz w:val="24"/>
          <w:szCs w:val="20"/>
          <w:highlight w:val="none"/>
        </w:rPr>
        <w:t>单位：亿元</w:t>
      </w:r>
    </w:p>
    <w:tbl>
      <w:tblPr>
        <w:tblStyle w:val="23"/>
        <w:tblW w:w="4998" w:type="pct"/>
        <w:tblInd w:w="0" w:type="dxa"/>
        <w:tblLayout w:type="autofit"/>
        <w:tblCellMar>
          <w:top w:w="0" w:type="dxa"/>
          <w:left w:w="108" w:type="dxa"/>
          <w:bottom w:w="0" w:type="dxa"/>
          <w:right w:w="108" w:type="dxa"/>
        </w:tblCellMar>
      </w:tblPr>
      <w:tblGrid>
        <w:gridCol w:w="628"/>
        <w:gridCol w:w="2729"/>
        <w:gridCol w:w="908"/>
        <w:gridCol w:w="5526"/>
        <w:gridCol w:w="1313"/>
        <w:gridCol w:w="1863"/>
      </w:tblGrid>
      <w:tr>
        <w:tblPrEx>
          <w:tblCellMar>
            <w:top w:w="0" w:type="dxa"/>
            <w:left w:w="108" w:type="dxa"/>
            <w:bottom w:w="0" w:type="dxa"/>
            <w:right w:w="108" w:type="dxa"/>
          </w:tblCellMar>
        </w:tblPrEx>
        <w:trPr>
          <w:trHeight w:val="312" w:hRule="atLeast"/>
          <w:tblHeader/>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序号</w:t>
            </w:r>
          </w:p>
        </w:tc>
        <w:tc>
          <w:tcPr>
            <w:tcW w:w="10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项目名称</w:t>
            </w:r>
          </w:p>
        </w:tc>
        <w:tc>
          <w:tcPr>
            <w:tcW w:w="3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建设性质</w:t>
            </w:r>
          </w:p>
        </w:tc>
        <w:tc>
          <w:tcPr>
            <w:tcW w:w="2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主要建设内容和规模</w:t>
            </w:r>
          </w:p>
        </w:tc>
        <w:tc>
          <w:tcPr>
            <w:tcW w:w="5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总投资</w:t>
            </w:r>
          </w:p>
        </w:tc>
        <w:tc>
          <w:tcPr>
            <w:tcW w:w="7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责任单位</w:t>
            </w:r>
          </w:p>
        </w:tc>
      </w:tr>
      <w:tr>
        <w:tblPrEx>
          <w:tblCellMar>
            <w:top w:w="0" w:type="dxa"/>
            <w:left w:w="108" w:type="dxa"/>
            <w:bottom w:w="0" w:type="dxa"/>
            <w:right w:w="108" w:type="dxa"/>
          </w:tblCellMar>
        </w:tblPrEx>
        <w:trPr>
          <w:trHeight w:val="312" w:hRule="atLeast"/>
          <w:tblHeader/>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7"/>
              <w:jc w:val="center"/>
              <w:rPr>
                <w:rFonts w:eastAsia="宋体" w:cs="Times New Roman"/>
                <w:b/>
                <w:bCs/>
                <w:color w:val="auto"/>
                <w:sz w:val="18"/>
                <w:szCs w:val="18"/>
                <w:highlight w:val="none"/>
              </w:rPr>
            </w:pPr>
          </w:p>
        </w:tc>
        <w:tc>
          <w:tcPr>
            <w:tcW w:w="10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7"/>
              <w:jc w:val="center"/>
              <w:rPr>
                <w:rFonts w:eastAsia="宋体" w:cs="Times New Roman"/>
                <w:b/>
                <w:bCs/>
                <w:color w:val="auto"/>
                <w:sz w:val="18"/>
                <w:szCs w:val="18"/>
                <w:highlight w:val="none"/>
              </w:rPr>
            </w:pPr>
          </w:p>
        </w:tc>
        <w:tc>
          <w:tcPr>
            <w:tcW w:w="3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7"/>
              <w:jc w:val="center"/>
              <w:rPr>
                <w:rFonts w:eastAsia="宋体" w:cs="Times New Roman"/>
                <w:b/>
                <w:bCs/>
                <w:color w:val="auto"/>
                <w:sz w:val="18"/>
                <w:szCs w:val="18"/>
                <w:highlight w:val="none"/>
              </w:rPr>
            </w:pPr>
          </w:p>
        </w:tc>
        <w:tc>
          <w:tcPr>
            <w:tcW w:w="2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7"/>
              <w:jc w:val="center"/>
              <w:rPr>
                <w:rFonts w:eastAsia="宋体" w:cs="Times New Roman"/>
                <w:b/>
                <w:bCs/>
                <w:color w:val="auto"/>
                <w:sz w:val="18"/>
                <w:szCs w:val="18"/>
                <w:highlight w:val="none"/>
              </w:rPr>
            </w:pPr>
          </w:p>
        </w:tc>
        <w:tc>
          <w:tcPr>
            <w:tcW w:w="5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7"/>
              <w:jc w:val="center"/>
              <w:rPr>
                <w:rFonts w:eastAsia="宋体" w:cs="Times New Roman"/>
                <w:b/>
                <w:bCs/>
                <w:color w:val="auto"/>
                <w:sz w:val="18"/>
                <w:szCs w:val="18"/>
                <w:highlight w:val="none"/>
              </w:rPr>
            </w:pPr>
          </w:p>
        </w:tc>
        <w:tc>
          <w:tcPr>
            <w:tcW w:w="7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合计</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716.655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一</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产业转型领域</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87.000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(一)</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生态农业</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5.100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商品湖羊养殖及有机智慧循环农业基地项目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分两期建设，一期项目建成后每年可新增优质商品羊3万头。基地含屠宰与深加工;湖羊智能养殖科研及科技示范;儿童青少年户外拓展;农家乐和民宿等以及果园、中药种植、花圃、鱼禽畜养殖等配套项目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5.000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朱村茶叶加工园项目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租用朱村小学对面64亩左右地块建设茶叶加工园</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0.100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农业农村局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(二)</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生态制造业</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14.200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年产10000吨超轻热塑性弹性体微发泡材料建设项目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占地55亩，建筑面积5.4万平米，年产给10000吨超轻弹性材料（E-TPU/E-PA/弹性纤维）</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1.200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财政局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汽车拆解项目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规划用地100亩，建设一个汽车拆解项目，与华宏钢铁厂原有相关设备进行配套使用，实现资源综合利用与回收</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3.000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经商局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汽车转向轴核心部件球笼保持架建设项目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拟用地50亩，年产5000万球笼保持架项目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经商局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年产1.2万套环保治理设备建设项目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约15亩，形成1.2万套环保治理设备设计、生产、加工能力，主要从事有机废气、粉尘、污水、油烟净化器、生物质锅炉等环保治理设备生产、设计；环保设备自能化控制系统，环境在线监控系装，安环工况物联网监测平台生产研发；配备环境标准一体化管理服务。</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环保局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7</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水资源利用加工园</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依托紧水滩引调水工程，利用引调的紧水滩库区优质水资源，划定区块建设饮料、酒水等生产基地</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8</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交牙矿地综合利用项目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利用废弃矿山用地100亩，引入2—3家建筑石料加工企业，建设我县建筑石料集中加工园</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自然资源和规划局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9</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老木制玩具城区块“退二优二”过渡厂房</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用地面积约110亩，建筑面积20万</w:t>
            </w:r>
            <w:r>
              <w:rPr>
                <w:rFonts w:eastAsia="宋体" w:cs="Times New Roman"/>
                <w:color w:val="auto"/>
                <w:kern w:val="0"/>
                <w:sz w:val="18"/>
                <w:szCs w:val="18"/>
                <w:highlight w:val="none"/>
                <w:lang w:bidi="ar"/>
              </w:rPr>
              <w:t>㎡</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5.000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(三)</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生态服务业</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67.700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旅游及养生养老产业</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61.000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10</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灵</w:t>
            </w:r>
            <w:r>
              <w:rPr>
                <w:rFonts w:eastAsia="宋体" w:cs="Times New Roman"/>
                <w:color w:val="auto"/>
                <w:kern w:val="0"/>
                <w:sz w:val="18"/>
                <w:szCs w:val="18"/>
                <w:highlight w:val="none"/>
                <w:lang w:bidi="ar"/>
              </w:rPr>
              <w:t>漈</w:t>
            </w:r>
            <w:r>
              <w:rPr>
                <w:rFonts w:cs="Times New Roman"/>
                <w:color w:val="auto"/>
                <w:kern w:val="0"/>
                <w:sz w:val="18"/>
                <w:szCs w:val="18"/>
                <w:highlight w:val="none"/>
                <w:lang w:bidi="ar"/>
              </w:rPr>
              <w:t>山4A级运动型景区项目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新开工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项目以现有梯田游客接待中心为集散中心、整合稻草砻山和老鹰岩区块，以地质景观为基础，利用山地资源，按照4A景区为标准建设旅游集散、生态停车、观光服务、山地火车、高空跳伞、攀岩、滑翔等项目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4.000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11</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石塘水上运动休闲小镇</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新开工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项目位于云和县石塘镇，以小顺半岛、长汀沙滩及周边山地为基础，依托云和湖独特的水资源，突出沙滩气排球、皮划艇、浆板、公开水域游泳等运动项目，创建省级运动休闲小镇</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3.000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文体综合体项目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新开工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项目拟规划用地面积约150亩，通过整合现有零散体育馆、田径场、游泳馆等，建设一个以运动为核心，涵盖赛事、演艺、健身、商业、教育等为一体的大型综合体</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6.000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十里云河研学游线提升项目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主要建设研学接待中心、主题特色酒店、亲水休闲木屋、休闲钓鱼平台、茶吧、咖啡屋、亲水栈道、露营基地、红色研学文化展示馆、游船码头提升、夜航灯、景观小品、停车场、解说标志等</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3.000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14</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紧水滩康养度假村项目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项目位于云和县紧水滩镇原紧水滩中学位置，总用地面积约50亩，总建筑面积10000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，拟引资2亿元，建设集艺术创作、自然康养、生态农场、户外运动等功能为一体的康养度假村</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3.000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15</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梯田山地运动休闲小镇</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新开工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项目用地500亩，通过整合白鹤尖滑雪场、提升徒步探险线路、古道建设，自驾营地、户外帐篷基地等开展自行车爬坡赛，泥泞赛徒步毅行赛打造梯田山地运动休闲小镇</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3.000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16</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狮山景区项目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规划范围约420亩，其中已到位建设用地24亩，项目规划建设佛教文化区、修养配套区、公共服务区、高端养生区等内容</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5.000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17</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云和湖国际休闲垂钓基地项目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位于紧水滩镇，主要建设游客综合管理服务用房、民宿酒店、休闲小木屋、钓鱼平台、茶吧、野营地、渔具展示馆、游船码头、夜航灯、景观小品、停车场、解说标志等基础配套设施</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1.800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旅投公司</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18</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云和湖湖滨水上运动项目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位于石塘镇湖滨村，水域面积2000平方米，建设水上设施、游乐场，开展特色水上运动项目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石塘镇</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19</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赤石乡乡村旅游综合体</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依山势新建1幢旅游综合楼，12幢酒店民宿用房</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赤石乡</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20</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采真里文创园综合体项目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总用地30亩，总建筑面积2.5万平方米、地下车库面积8806平方米，为现农械厂区块，计划保留部分建筑，新建商住用房，整个区块建成后打造为商业住房综合体</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2.800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城投公司</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21</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箬溪书院（西山书画院）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规划用地10亩，建设集中国传统文化传播、园林建设、旅游体验为一体的禅学书院</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安溪乡</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龙门农旅休闲小镇项目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项目作为仙宫景区、聚仙岛、库北等区块的综合枢纽，以龙门核心村为中心，通过整合周边山水资源，建设集综合服务中心、商业街区、高端民宿、田园采摘等项目为一体的服务小镇</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世界童话主题公园</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规划用地800余亩，建设木玩动漫影视基地、世界童话故事园、童话度假酒店、商业综合体等。</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童话小镇指挥部</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24</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天堂窥谷</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用地约25亩，利用天堂坑村原有古村落、山林地、农特产，保留原有建筑空间形制并有机更新，主要建设山水人文游线、特色生态民宿、农作乐趣体验区等</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元和街道</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25</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鹤谷养生庄园</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用地50亩，可建设用地5亩。利用鹤口源坑村青山绿水的环境优势，建设农家养生村。主要建设养生食疗区、生态种植区、休闲娱乐区三大功能区块</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元和街道</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26</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亲水湾主题精品酒店</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项目毗邻霞晓桥养生养老区块，充分利用云坛溪开阔的溪面和幽静的汤湾环境优势，建设以亲水、戏水为主题的高端精品酒店和10公里山地车赛道</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元和街道</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27</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云和梦里双港文旅项目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规划用地140亩，建设水乐世界、非遗体验馆、庄园式酒店、诗画风景展廊等</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6.800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石塘镇</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28</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赤石乡</w:t>
            </w:r>
            <w:r>
              <w:rPr>
                <w:rFonts w:eastAsia="宋体" w:cs="Times New Roman"/>
                <w:color w:val="auto"/>
                <w:kern w:val="0"/>
                <w:sz w:val="18"/>
                <w:szCs w:val="18"/>
                <w:highlight w:val="none"/>
                <w:lang w:bidi="ar"/>
              </w:rPr>
              <w:t>垟</w:t>
            </w:r>
            <w:r>
              <w:rPr>
                <w:rFonts w:cs="Times New Roman"/>
                <w:color w:val="auto"/>
                <w:kern w:val="0"/>
                <w:sz w:val="18"/>
                <w:szCs w:val="18"/>
                <w:highlight w:val="none"/>
                <w:lang w:bidi="ar"/>
              </w:rPr>
              <w:t>田平岗区块生态旅游项目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依托云和湖云缦康养度假区项目，在</w:t>
            </w:r>
            <w:r>
              <w:rPr>
                <w:rFonts w:eastAsia="宋体" w:cs="Times New Roman"/>
                <w:color w:val="auto"/>
                <w:kern w:val="0"/>
                <w:sz w:val="18"/>
                <w:szCs w:val="18"/>
                <w:highlight w:val="none"/>
                <w:lang w:bidi="ar"/>
              </w:rPr>
              <w:t>垟</w:t>
            </w:r>
            <w:r>
              <w:rPr>
                <w:rFonts w:cs="Times New Roman"/>
                <w:color w:val="auto"/>
                <w:kern w:val="0"/>
                <w:sz w:val="18"/>
                <w:szCs w:val="18"/>
                <w:highlight w:val="none"/>
                <w:lang w:bidi="ar"/>
              </w:rPr>
              <w:t>田平岗区块谋划用地面积约30亩，建设集接待、餐饮、水疗、SPA等功能为一体的高端康养度假项目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0.600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赤石乡</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29</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崇头休闲养老游学基地项目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用地面积3500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，建筑面积3000</w:t>
            </w:r>
            <w:r>
              <w:rPr>
                <w:rFonts w:eastAsia="宋体" w:cs="Times New Roman"/>
                <w:color w:val="auto"/>
                <w:kern w:val="0"/>
                <w:sz w:val="18"/>
                <w:szCs w:val="18"/>
                <w:highlight w:val="none"/>
                <w:lang w:bidi="ar"/>
              </w:rPr>
              <w:t>㎡，床位数100张</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民政局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30</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安溪养生养老项目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用地面积30000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，建筑面积1000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，床位数100张</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民政局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商贸物流</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4.800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31</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大搬快聚（岗头区块）西侧用地开发</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项目占地40亩，建设5.8万</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综合体开发项目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4.000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城南商业综合体</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规划用地25亩，建筑面积10000余</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，构建购物、娱乐为一体的商业综合体</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0.800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白龙山街道</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数字经济</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1.900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"智慧医疗"信息平台项目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医共体医疗信息集成平台，医共体检验、心电、影像诊断中心和智慧药房，人工智能的临床质量管理平台，就医辅助系统及设施建设，配套硬件设施</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0.300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卫健局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34</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智能物流中心</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拟用地30亩，建设智能物流数据信息中心、大型全自动分拣车间、配建菜鸟仓储系统、物流即时配送呼唤中心</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1.100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35</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城市大脑</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新开工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城市大脑平台数字平台建设，主要建设内容有公共数据中心、数据中台、政务云中心、专题数据库、县域三维数字地图、大屏展示平台外加公安、应急、城管、旅游、乡村治理、园区、环保等N应用的整合和数字生态体系建设</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综合指挥和大数据中心</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二</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交通设施</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128.430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36</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云和湖水上机场</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机场类别为A2类通用机场（跑道长约1200米，宽约30米），并配套培训所需的场所和设施，占地面积为1平方公里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37</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云景风情聚落区道路</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拟在云和工业园区附近谋划一条可直达景宁工业园区的高等级公路，云和段约10公里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25.000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38</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云和县城过境公路</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拟在县城按一级公路标准规划一条全长约15公里，其中隧道约4780米/5座，桥梁约1770米/6座的过境公路。建安费约16亿元</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25.000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39</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规划仙居至景宁省道云和黄源至景宁交界段（云和梯田至景宁大均公路）</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二级公路19公里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kern w:val="0"/>
                <w:sz w:val="18"/>
                <w:szCs w:val="18"/>
                <w:highlight w:val="none"/>
                <w:lang w:bidi="ar"/>
              </w:rPr>
            </w:pPr>
            <w:r>
              <w:rPr>
                <w:rFonts w:cs="Times New Roman"/>
                <w:color w:val="auto"/>
                <w:kern w:val="0"/>
                <w:sz w:val="18"/>
                <w:szCs w:val="18"/>
                <w:highlight w:val="none"/>
                <w:lang w:bidi="ar"/>
              </w:rPr>
              <w:t xml:space="preserve">8.000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40</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陈包线（陈村至梅湾段）提升改造工程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改建3.5公里通景公路，含隧道一座560米</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0.930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41</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综合交通信息（抢险）中心</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总用地面积约9200m2，总建筑面积约12000m2</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0.600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云和湖码头（紧水滩库区）</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新建紧水滩库区码头两处合计泊位50个</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云和湖码头（石塘库区）</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新建石塘码头三处合计泊位10个</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0.600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44</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云和湖旅游码头</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新建游船泊位100个</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45</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瓯江旅游航道云和段提升改造</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整治提升航道20公里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46</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云和湖电动游览船（仿古舴艋船）项目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拟在云和湖投入12客位电动游览船（仿古舴艋船）100艘，开辟3条精品航线以及游览船停泊、修理和游客接待基地3处，占地约30亩</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47</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紧水滩镇龙门水陆游客集散中心项目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建设龙门村水陆游客集散中心，需挖土石约23万方，并填方。建设旅客集散中心公厕、道路硬化、饮用水、亮化、绿化等配套设施</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紧水滩镇</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48</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规划仙居至景宁省道云和县城过境段公路工程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一级公路17公里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49</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322</w:t>
            </w:r>
            <w:r>
              <w:rPr>
                <w:rStyle w:val="83"/>
                <w:rFonts w:hint="default" w:ascii="Times New Roman" w:eastAsia="宋体" w:cs="Times New Roman"/>
                <w:color w:val="auto"/>
                <w:sz w:val="24"/>
                <w:szCs w:val="24"/>
                <w:highlight w:val="none"/>
                <w:lang w:bidi="ar"/>
              </w:rPr>
              <w:t>国道云和云坛至后山段改建工程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一级公路15公里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50</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百龙线改建工程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二级公路13.7公里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7.800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51</w:t>
            </w:r>
          </w:p>
        </w:tc>
        <w:tc>
          <w:tcPr>
            <w:tcW w:w="1052" w:type="pct"/>
            <w:tcBorders>
              <w:top w:val="nil"/>
              <w:left w:val="nil"/>
              <w:bottom w:val="nil"/>
              <w:right w:val="nil"/>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陈麻线改建提升工程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改建11.7公里通景公路</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3.000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紧水滩跨库大桥至龙泉道太公路</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二级公路13公里（含紧水滩跨库大桥）</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6.500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库北至松阳大东坝公路</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拟从紧水滩跨库大桥接入，经渡姣源到松阳大东坝建设二级公路约9公里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5.000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54</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局村至天堂坑口公路（云和湖连接线）改建工程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新建二级公路2公里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55</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牛头山公路（紧水滩至石塘公路）</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新建双车道四级公路约30公里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4.200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56</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小云线改建工程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二级公路10公里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8.000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57</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张项线提升改造</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nil"/>
              <w:left w:val="nil"/>
              <w:bottom w:val="nil"/>
              <w:right w:val="nil"/>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提升改造四级公路28公里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4.300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58</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后交线崇头大垟至景宁界提升改造</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提升改造四级公路</w:t>
            </w:r>
            <w:r>
              <w:rPr>
                <w:rStyle w:val="83"/>
                <w:rFonts w:hint="default" w:ascii="Times New Roman" w:eastAsia="宋体" w:cs="Times New Roman"/>
                <w:color w:val="auto"/>
                <w:sz w:val="24"/>
                <w:szCs w:val="24"/>
                <w:highlight w:val="none"/>
                <w:lang w:bidi="ar"/>
              </w:rPr>
              <w:t>16公里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59</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综合交通枢纽</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在规划火车站建集客运、公交、物流等综合交通站场</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 </w:t>
            </w:r>
          </w:p>
        </w:tc>
        <w:tc>
          <w:tcPr>
            <w:tcW w:w="718" w:type="pct"/>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交通运输局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sz w:val="18"/>
                <w:szCs w:val="18"/>
                <w:highlight w:val="none"/>
              </w:rPr>
            </w:pPr>
            <w:r>
              <w:rPr>
                <w:rFonts w:cs="Times New Roman"/>
                <w:b/>
                <w:bCs/>
                <w:color w:val="auto"/>
                <w:kern w:val="0"/>
                <w:sz w:val="18"/>
                <w:szCs w:val="18"/>
                <w:highlight w:val="none"/>
                <w:lang w:bidi="ar"/>
              </w:rPr>
              <w:t>三</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sz w:val="18"/>
                <w:szCs w:val="18"/>
                <w:highlight w:val="none"/>
              </w:rPr>
            </w:pPr>
            <w:r>
              <w:rPr>
                <w:rFonts w:cs="Times New Roman"/>
                <w:b/>
                <w:bCs/>
                <w:color w:val="auto"/>
                <w:kern w:val="0"/>
                <w:sz w:val="18"/>
                <w:szCs w:val="18"/>
                <w:highlight w:val="none"/>
                <w:lang w:bidi="ar"/>
              </w:rPr>
              <w:t>城乡统筹领域</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rPr>
                <w:rFonts w:cs="Times New Roman"/>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left"/>
              <w:rPr>
                <w:rFonts w:cs="Times New Roman"/>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b/>
                <w:bCs/>
                <w:color w:val="auto"/>
                <w:sz w:val="18"/>
                <w:szCs w:val="18"/>
                <w:highlight w:val="none"/>
              </w:rPr>
            </w:pPr>
            <w:r>
              <w:rPr>
                <w:rFonts w:cs="Times New Roman"/>
                <w:b/>
                <w:bCs/>
                <w:color w:val="auto"/>
                <w:kern w:val="0"/>
                <w:sz w:val="18"/>
                <w:szCs w:val="18"/>
                <w:highlight w:val="none"/>
                <w:lang w:bidi="ar"/>
              </w:rPr>
              <w:t xml:space="preserve">22.600 </w:t>
            </w:r>
          </w:p>
        </w:tc>
        <w:tc>
          <w:tcPr>
            <w:tcW w:w="718" w:type="pct"/>
            <w:tcBorders>
              <w:top w:val="single" w:color="000000" w:sz="4" w:space="0"/>
              <w:left w:val="single" w:color="000000" w:sz="4" w:space="0"/>
              <w:bottom w:val="nil"/>
              <w:right w:val="single" w:color="000000" w:sz="4" w:space="0"/>
            </w:tcBorders>
            <w:shd w:val="clear" w:color="auto" w:fill="auto"/>
            <w:vAlign w:val="center"/>
          </w:tcPr>
          <w:p>
            <w:pPr>
              <w:spacing w:line="200" w:lineRule="exact"/>
              <w:ind w:firstLine="375"/>
              <w:jc w:val="center"/>
              <w:rPr>
                <w:rFonts w:cs="Times New Roman"/>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(一)</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市政基础设施</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2.100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60</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工业园区路网连通工程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新建和信路往北延伸至解放西街道路，道路长400米，跨浮云溪新建桥梁一座；新建解放西街和新华街往西延伸至城南西路的道路工程，道路宽16-22米，长300米，跨黄溪河道新建桥梁一座；守信路往北延伸至53省道，长130米，宽16米。城西路向南跨丽龙高速联通杨柳河路。</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0.600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61</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城市备用水厂</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依托紧水滩引调水水源，建设10万t/d备用水厂</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水投公司</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(二)</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城市更新</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19.000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城中村改造</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改建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古竹、瓦窑等城中村改造</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5.000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木制玩具城更新</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用地195亩，位于中山西路以北地块开发原陶瓷厂、砖瓦厂、西郊区块，可开发为商业综合体、医疗教育基地、园区总部中心、文化创意产业基地、现代数字化工厂。建筑面积估算20万</w:t>
            </w:r>
            <w:r>
              <w:rPr>
                <w:rFonts w:eastAsia="宋体" w:cs="Times New Roman"/>
                <w:color w:val="auto"/>
                <w:kern w:val="0"/>
                <w:sz w:val="18"/>
                <w:szCs w:val="18"/>
                <w:highlight w:val="none"/>
                <w:lang w:bidi="ar"/>
              </w:rPr>
              <w:t>㎡</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14.000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工业园区管委会</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(三)</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美丽城镇及新农村建设</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1.500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64</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石浦船帮古镇</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项目依托石浦古村落，通过挖掘瓯江流域船帮文化，通过整合石浦村、紧水滩中学、花炮厂等区块，打造集游客中心、环湖绿道、高端民宿、船帮文化展示中心、写生基地为一体的船帮古镇</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文广旅体局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四</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生态环保领域</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112.900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(一)</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水利设施</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26.000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65</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农村饮用水水源地保护工程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新建农村供水水源50处，保护已建86处农村水源地</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3.000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66</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黄溪水库</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在黄溪上游处河坑村夫人殿附近新建小型水库一座，总库容300万立方米，并采用隧洞联通至梅垄水库进行分洪，隧洞长约3.5公里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67</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黄溪流域综合治理工程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改造提升黄溪河道长度2.47km，黄溪河道整治3.82万m</w:t>
            </w:r>
            <w:r>
              <w:rPr>
                <w:rFonts w:cs="Times New Roman"/>
                <w:color w:val="auto"/>
                <w:kern w:val="0"/>
                <w:sz w:val="18"/>
                <w:szCs w:val="18"/>
                <w:highlight w:val="none"/>
                <w:vertAlign w:val="superscript"/>
                <w:lang w:bidi="ar"/>
              </w:rPr>
              <w:t>2</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68</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梓枋水库</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新建小型水库一座，库容100万m</w:t>
            </w:r>
            <w:r>
              <w:rPr>
                <w:rFonts w:eastAsia="宋体" w:cs="Times New Roman"/>
                <w:color w:val="auto"/>
                <w:kern w:val="0"/>
                <w:sz w:val="18"/>
                <w:szCs w:val="18"/>
                <w:highlight w:val="none"/>
                <w:lang w:bidi="ar"/>
              </w:rPr>
              <w:t>³</w:t>
            </w:r>
            <w:r>
              <w:rPr>
                <w:rFonts w:cs="Times New Roman"/>
                <w:color w:val="auto"/>
                <w:kern w:val="0"/>
                <w:sz w:val="18"/>
                <w:szCs w:val="18"/>
                <w:highlight w:val="none"/>
                <w:lang w:bidi="ar"/>
              </w:rPr>
              <w:t>，主要功能为饮用水水源</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69</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北洪南调工程（紧水滩至滩坑水库连通工程）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建设输水隧洞30公里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水利局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(二)</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环保设施建设</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0.500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70</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废旧商品分拣集散中心项目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用地20亩，建筑面积12000㎡，建设废旧商品分拣车间、办公管理等用房，用于从事废纸、废塑料、废旧金属及报废汽车拆解等废旧商品的分拣作业，预计年分拣回收总量约为5-6万吨</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0.200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经商局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71</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一般工业固废和建筑垃圾处置场（含填埋）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在云和、景宁两县交界处（岚头村）共同谋划新建一处一般工业固废和建筑垃圾处置场（含填埋）</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0.300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(三)</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生态涵养建设</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(四)</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绿色能源</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86.400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color w:val="auto"/>
                <w:sz w:val="18"/>
                <w:szCs w:val="18"/>
                <w:highlight w:val="none"/>
              </w:rPr>
            </w:pPr>
            <w:r>
              <w:rPr>
                <w:rFonts w:eastAsia="宋体" w:cs="Times New Roman"/>
                <w:color w:val="auto"/>
                <w:kern w:val="0"/>
                <w:sz w:val="18"/>
                <w:szCs w:val="18"/>
                <w:highlight w:val="none"/>
                <w:lang w:bidi="ar"/>
              </w:rPr>
              <w:t>72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黄源风电二期项目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项目总装机容量18MW，拟安装9台单机容量2.0MW风电机组，总投资为1.8亿元</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1.800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color w:val="auto"/>
                <w:sz w:val="18"/>
                <w:szCs w:val="18"/>
                <w:highlight w:val="none"/>
              </w:rPr>
            </w:pPr>
            <w:r>
              <w:rPr>
                <w:rFonts w:eastAsia="宋体" w:cs="Times New Roman"/>
                <w:color w:val="auto"/>
                <w:kern w:val="0"/>
                <w:sz w:val="18"/>
                <w:szCs w:val="18"/>
                <w:highlight w:val="none"/>
                <w:lang w:bidi="ar"/>
              </w:rPr>
              <w:t>73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紧水滩方山岭风电项目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项目规划装机容量28MW，拟安装14台单机2MW风电机组，总投资为2.6亿元，规划场址位于浙江省丽水市云和县北部山脉区域</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2.600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color w:val="auto"/>
                <w:sz w:val="18"/>
                <w:szCs w:val="18"/>
                <w:highlight w:val="none"/>
              </w:rPr>
            </w:pPr>
            <w:r>
              <w:rPr>
                <w:rFonts w:eastAsia="宋体" w:cs="Times New Roman"/>
                <w:color w:val="auto"/>
                <w:kern w:val="0"/>
                <w:sz w:val="18"/>
                <w:szCs w:val="18"/>
                <w:highlight w:val="none"/>
                <w:lang w:bidi="ar"/>
              </w:rPr>
              <w:t>74</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云和—景宁天然气长输管道</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从云和门站到景宁外舍总长12.4公里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3.000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color w:val="auto"/>
                <w:sz w:val="18"/>
                <w:szCs w:val="18"/>
                <w:highlight w:val="none"/>
              </w:rPr>
            </w:pPr>
            <w:r>
              <w:rPr>
                <w:rFonts w:eastAsia="宋体" w:cs="Times New Roman"/>
                <w:color w:val="auto"/>
                <w:kern w:val="0"/>
                <w:sz w:val="18"/>
                <w:szCs w:val="18"/>
                <w:highlight w:val="none"/>
                <w:lang w:bidi="ar"/>
              </w:rPr>
              <w:t>75</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云和抽水蓄能电站</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位于元和街道靛青山，装机容量为1200MW。电站枢纽工程主要由上水库、下水库、输水系统、地下厂房和开关站等建筑物组成</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64.000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color w:val="auto"/>
                <w:sz w:val="18"/>
                <w:szCs w:val="18"/>
                <w:highlight w:val="none"/>
              </w:rPr>
            </w:pPr>
            <w:r>
              <w:rPr>
                <w:rFonts w:eastAsia="宋体" w:cs="Times New Roman"/>
                <w:color w:val="auto"/>
                <w:kern w:val="0"/>
                <w:sz w:val="18"/>
                <w:szCs w:val="18"/>
                <w:highlight w:val="none"/>
                <w:lang w:bidi="ar"/>
              </w:rPr>
              <w:t>76</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新能源储备库建设项目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谋划新建集光电、风电、水电等新能源为一体的储备仓</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15.000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五</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公共服务领域</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15.725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(一)</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教育</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4.110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77</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第三中学健美操大楼等项目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1.新建健美操大楼，占地面积1500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，建筑面积约4500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，建地下一层，地上两层。2.新建综合大楼，拆除原有教学楼改建一幢3500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左右的综合楼，内设功能教室及行政办公室。</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0.650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78</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新建小学（名称待定）</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按浙江省九年制义务教育普通学校I类建设标准建设，共36个班级，用地面积约41000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，建筑面积45000</w:t>
            </w:r>
            <w:r>
              <w:rPr>
                <w:rFonts w:eastAsia="宋体" w:cs="Times New Roman"/>
                <w:color w:val="auto"/>
                <w:kern w:val="0"/>
                <w:sz w:val="18"/>
                <w:szCs w:val="18"/>
                <w:highlight w:val="none"/>
                <w:lang w:bidi="ar"/>
              </w:rPr>
              <w:t>㎡。</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79</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中等职业技术学校产教融合中心三期工程</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1.新建产教融合中心综合楼，用地面积约6880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，产教融合中心综合楼建筑面积5000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。估算投资6800万元。2.新建男女学生公寓，以及人才公寓，用地面积约9353</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，学生公寓建筑面积9000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，人才公寓建筑面积1900</w:t>
            </w:r>
            <w:r>
              <w:rPr>
                <w:rFonts w:eastAsia="宋体" w:cs="Times New Roman"/>
                <w:color w:val="auto"/>
                <w:kern w:val="0"/>
                <w:sz w:val="18"/>
                <w:szCs w:val="18"/>
                <w:highlight w:val="none"/>
                <w:lang w:bidi="ar"/>
              </w:rPr>
              <w:t>㎡</w:t>
            </w:r>
            <w:r>
              <w:rPr>
                <w:rFonts w:cs="Times New Roman"/>
                <w:color w:val="auto"/>
                <w:kern w:val="0"/>
                <w:sz w:val="18"/>
                <w:szCs w:val="18"/>
                <w:highlight w:val="none"/>
                <w:lang w:bidi="ar"/>
              </w:rPr>
              <w:t>。估算投资7800万元。</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1.460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教育局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(二)</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卫生</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(三)</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文化体育</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0.500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417"/>
              <w:jc w:val="center"/>
              <w:rPr>
                <w:rFonts w:eastAsia="宋体" w:cs="Times New Roman"/>
                <w:b/>
                <w:bCs/>
                <w:color w:val="auto"/>
                <w:sz w:val="20"/>
                <w:szCs w:val="20"/>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80</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城市书房</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改造面积5000㎡，提供图书阅读、书画展览、文化沙龙、咖啡茶水等休闲生活体验</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0.500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住建局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(四)</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社会保障</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7"/>
              <w:jc w:val="center"/>
              <w:rPr>
                <w:rFonts w:eastAsia="宋体" w:cs="Times New Roman"/>
                <w:b/>
                <w:bCs/>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1.115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417"/>
              <w:jc w:val="center"/>
              <w:rPr>
                <w:rFonts w:eastAsia="宋体" w:cs="Times New Roman"/>
                <w:b/>
                <w:bCs/>
                <w:color w:val="auto"/>
                <w:sz w:val="20"/>
                <w:szCs w:val="20"/>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81</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儿童福利院</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用地面积2000㎡，建筑面积1500㎡，床位数50张</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0.115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民政局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82</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殡仪馆搬迁项目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用地面积30000㎡，建筑面积20000㎡</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民政局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(五)</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公共安全</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rPr>
                <w:rFonts w:eastAsia="宋体" w:cs="Times New Roman"/>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left"/>
              <w:rPr>
                <w:rFonts w:eastAsia="宋体" w:cs="Times New Roman"/>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10.000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rPr>
                <w:rFonts w:eastAsia="宋体" w:cs="Times New Roman"/>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83</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国家粮食储备库建设项目</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规划用地100亩，谋划新建50万吨国家粮库储备库，主要建设储备库、应急加工厂、成品粮仓库、应急物资储备库等</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发改局</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六</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储备开发资源</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rPr>
                <w:rFonts w:eastAsia="宋体" w:cs="Times New Roman"/>
                <w:color w:val="auto"/>
                <w:sz w:val="18"/>
                <w:szCs w:val="18"/>
                <w:highlight w:val="none"/>
              </w:rPr>
            </w:pP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left"/>
              <w:rPr>
                <w:rFonts w:eastAsia="宋体" w:cs="Times New Roman"/>
                <w:color w:val="auto"/>
                <w:sz w:val="18"/>
                <w:szCs w:val="18"/>
                <w:highlight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eastAsia="宋体" w:cs="Times New Roman"/>
                <w:b/>
                <w:bCs/>
                <w:color w:val="auto"/>
                <w:sz w:val="18"/>
                <w:szCs w:val="18"/>
                <w:highlight w:val="none"/>
              </w:rPr>
            </w:pPr>
            <w:r>
              <w:rPr>
                <w:rFonts w:eastAsia="宋体" w:cs="Times New Roman"/>
                <w:b/>
                <w:bCs/>
                <w:color w:val="auto"/>
                <w:kern w:val="0"/>
                <w:sz w:val="18"/>
                <w:szCs w:val="18"/>
                <w:highlight w:val="none"/>
                <w:lang w:bidi="ar"/>
              </w:rPr>
              <w:t xml:space="preserve">350.000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00" w:lineRule="exact"/>
              <w:ind w:firstLine="375"/>
              <w:jc w:val="center"/>
              <w:rPr>
                <w:rFonts w:eastAsia="宋体" w:cs="Times New Roman"/>
                <w:color w:val="auto"/>
                <w:sz w:val="18"/>
                <w:szCs w:val="18"/>
                <w:highlight w:val="none"/>
              </w:rPr>
            </w:pP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84</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云和湖沿线地块</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规划总用地约18500亩，以麻</w:t>
            </w:r>
            <w:r>
              <w:rPr>
                <w:rFonts w:eastAsia="宋体" w:cs="Times New Roman"/>
                <w:color w:val="auto"/>
                <w:kern w:val="0"/>
                <w:sz w:val="18"/>
                <w:szCs w:val="18"/>
                <w:highlight w:val="none"/>
                <w:lang w:bidi="ar"/>
              </w:rPr>
              <w:t>垟</w:t>
            </w:r>
            <w:r>
              <w:rPr>
                <w:rFonts w:cs="Times New Roman"/>
                <w:color w:val="auto"/>
                <w:kern w:val="0"/>
                <w:sz w:val="18"/>
                <w:szCs w:val="18"/>
                <w:highlight w:val="none"/>
                <w:lang w:bidi="ar"/>
              </w:rPr>
              <w:t>、大小牛湾及大源、瑞滩、蚊山、龙门、菖蒲垄、小顺、规溪八个地块为基础，提炼出结合养生养老、人文会展、山水运动、集训度假等主题特色，精心打造云和湖区域的“区域品牌”和高端主题定制“产业品牌”，形成云和湖景区沿线“泛旅游产业带”开发空间。</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200.000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w:t>
            </w:r>
          </w:p>
        </w:tc>
      </w:tr>
      <w:tr>
        <w:tblPrEx>
          <w:tblCellMar>
            <w:top w:w="0" w:type="dxa"/>
            <w:left w:w="108" w:type="dxa"/>
            <w:bottom w:w="0" w:type="dxa"/>
            <w:right w:w="108" w:type="dxa"/>
          </w:tblCellMar>
        </w:tblPrEx>
        <w:trPr>
          <w:trHeight w:val="23"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85</w:t>
            </w:r>
          </w:p>
        </w:tc>
        <w:tc>
          <w:tcPr>
            <w:tcW w:w="10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县域资源调查可开发地块</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新建</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left"/>
              <w:textAlignment w:val="center"/>
              <w:rPr>
                <w:rFonts w:cs="Times New Roman"/>
                <w:color w:val="auto"/>
                <w:sz w:val="18"/>
                <w:szCs w:val="18"/>
                <w:highlight w:val="none"/>
              </w:rPr>
            </w:pPr>
            <w:r>
              <w:rPr>
                <w:rFonts w:cs="Times New Roman"/>
                <w:color w:val="auto"/>
                <w:kern w:val="0"/>
                <w:sz w:val="18"/>
                <w:szCs w:val="18"/>
                <w:highlight w:val="none"/>
                <w:lang w:bidi="ar"/>
              </w:rPr>
              <w:t>上坪村地块、横坑村地块、山茶岗地块、交牙地块、南山湖地块、龙渡村地块、渡蛟村地块、大小牛湾地块、东坑村地块、金坞地块、下</w:t>
            </w:r>
            <w:r>
              <w:rPr>
                <w:rFonts w:eastAsia="宋体" w:cs="Times New Roman"/>
                <w:color w:val="auto"/>
                <w:kern w:val="0"/>
                <w:sz w:val="18"/>
                <w:szCs w:val="18"/>
                <w:highlight w:val="none"/>
                <w:lang w:bidi="ar"/>
              </w:rPr>
              <w:t>垟</w:t>
            </w:r>
            <w:r>
              <w:rPr>
                <w:rFonts w:cs="Times New Roman"/>
                <w:color w:val="auto"/>
                <w:kern w:val="0"/>
                <w:sz w:val="18"/>
                <w:szCs w:val="18"/>
                <w:highlight w:val="none"/>
                <w:lang w:bidi="ar"/>
              </w:rPr>
              <w:t>村地块、陈家</w:t>
            </w:r>
            <w:r>
              <w:rPr>
                <w:rFonts w:eastAsia="宋体" w:cs="Times New Roman"/>
                <w:color w:val="auto"/>
                <w:kern w:val="0"/>
                <w:sz w:val="18"/>
                <w:szCs w:val="18"/>
                <w:highlight w:val="none"/>
                <w:lang w:bidi="ar"/>
              </w:rPr>
              <w:t>垟</w:t>
            </w:r>
            <w:r>
              <w:rPr>
                <w:rFonts w:cs="Times New Roman"/>
                <w:color w:val="auto"/>
                <w:kern w:val="0"/>
                <w:sz w:val="18"/>
                <w:szCs w:val="18"/>
                <w:highlight w:val="none"/>
                <w:lang w:bidi="ar"/>
              </w:rPr>
              <w:t>村地块、叶村坪村地块、木樨花村地块、林斜地块、严山村地块、内陈山地块、夏家</w:t>
            </w:r>
            <w:r>
              <w:rPr>
                <w:rFonts w:eastAsia="宋体" w:cs="Times New Roman"/>
                <w:color w:val="auto"/>
                <w:kern w:val="0"/>
                <w:sz w:val="18"/>
                <w:szCs w:val="18"/>
                <w:highlight w:val="none"/>
                <w:lang w:bidi="ar"/>
              </w:rPr>
              <w:t>垟</w:t>
            </w:r>
            <w:r>
              <w:rPr>
                <w:rFonts w:cs="Times New Roman"/>
                <w:color w:val="auto"/>
                <w:kern w:val="0"/>
                <w:sz w:val="18"/>
                <w:szCs w:val="18"/>
                <w:highlight w:val="none"/>
                <w:lang w:bidi="ar"/>
              </w:rPr>
              <w:t>村地块等26处地块约2万亩可开发地块</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 xml:space="preserve">150.000 </w:t>
            </w:r>
          </w:p>
        </w:tc>
        <w:tc>
          <w:tcPr>
            <w:tcW w:w="7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ind w:firstLine="0" w:firstLineChars="0"/>
              <w:jc w:val="center"/>
              <w:textAlignment w:val="center"/>
              <w:rPr>
                <w:rFonts w:cs="Times New Roman"/>
                <w:color w:val="auto"/>
                <w:sz w:val="18"/>
                <w:szCs w:val="18"/>
                <w:highlight w:val="none"/>
              </w:rPr>
            </w:pPr>
            <w:r>
              <w:rPr>
                <w:rFonts w:cs="Times New Roman"/>
                <w:color w:val="auto"/>
                <w:kern w:val="0"/>
                <w:sz w:val="18"/>
                <w:szCs w:val="18"/>
                <w:highlight w:val="none"/>
                <w:lang w:bidi="ar"/>
              </w:rPr>
              <w:t>/</w:t>
            </w:r>
          </w:p>
        </w:tc>
      </w:tr>
    </w:tbl>
    <w:p>
      <w:pPr>
        <w:pStyle w:val="2"/>
        <w:ind w:left="0" w:leftChars="0" w:firstLine="0" w:firstLineChars="0"/>
        <w:rPr>
          <w:color w:val="auto"/>
          <w:highlight w:val="none"/>
        </w:rPr>
      </w:pPr>
    </w:p>
    <w:sectPr>
      <w:pgSz w:w="16838" w:h="11906" w:orient="landscape"/>
      <w:pgMar w:top="1587" w:right="2098" w:bottom="1474" w:left="1984" w:header="851" w:footer="1417" w:gutter="0"/>
      <w:cols w:space="0" w:num="1"/>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firstLine="655" w:firstLineChars="0"/>
      <w:jc w:val="center"/>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firstLine="655" w:firstLineChars="0"/>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cs="Times New Roman"/>
                            </w:rPr>
                            <w:id w:val="1828012766"/>
                          </w:sdtPr>
                          <w:sdtEndPr>
                            <w:rPr>
                              <w:rFonts w:cs="Times New Roman"/>
                            </w:rPr>
                          </w:sdtEndPr>
                          <w:sdtContent>
                            <w:p>
                              <w:pPr>
                                <w:pStyle w:val="14"/>
                                <w:spacing w:line="240" w:lineRule="auto"/>
                                <w:ind w:firstLine="0" w:firstLineChars="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19</w:t>
                              </w:r>
                              <w:r>
                                <w:rPr>
                                  <w:rFonts w:cs="Times New Roman"/>
                                </w:rPr>
                                <w:fldChar w:fldCharType="end"/>
                              </w:r>
                            </w:p>
                          </w:sdtContent>
                        </w:sdt>
                        <w:p>
                          <w:pPr>
                            <w:pStyle w:val="2"/>
                            <w:ind w:left="640"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rPr>
                        <w:rFonts w:cs="Times New Roman"/>
                      </w:rPr>
                      <w:id w:val="1828012766"/>
                    </w:sdtPr>
                    <w:sdtEndPr>
                      <w:rPr>
                        <w:rFonts w:cs="Times New Roman"/>
                      </w:rPr>
                    </w:sdtEndPr>
                    <w:sdtContent>
                      <w:p>
                        <w:pPr>
                          <w:pStyle w:val="14"/>
                          <w:spacing w:line="240" w:lineRule="auto"/>
                          <w:ind w:firstLine="0" w:firstLineChars="0"/>
                          <w:jc w:val="center"/>
                          <w:rPr>
                            <w:rFonts w:cs="Times New Roman"/>
                          </w:rPr>
                        </w:pPr>
                        <w:r>
                          <w:rPr>
                            <w:rFonts w:cs="Times New Roman"/>
                          </w:rPr>
                          <w:fldChar w:fldCharType="begin"/>
                        </w:r>
                        <w:r>
                          <w:rPr>
                            <w:rFonts w:cs="Times New Roman"/>
                          </w:rPr>
                          <w:instrText xml:space="preserve">PAGE   \* MERGEFORMAT</w:instrText>
                        </w:r>
                        <w:r>
                          <w:rPr>
                            <w:rFonts w:cs="Times New Roman"/>
                          </w:rPr>
                          <w:fldChar w:fldCharType="separate"/>
                        </w:r>
                        <w:r>
                          <w:rPr>
                            <w:rFonts w:cs="Times New Roman"/>
                            <w:lang w:val="zh-CN"/>
                          </w:rPr>
                          <w:t>19</w:t>
                        </w:r>
                        <w:r>
                          <w:rPr>
                            <w:rFonts w:cs="Times New Roman"/>
                          </w:rPr>
                          <w:fldChar w:fldCharType="end"/>
                        </w:r>
                      </w:p>
                    </w:sdtContent>
                  </w:sdt>
                  <w:p>
                    <w:pPr>
                      <w:pStyle w:val="2"/>
                      <w:ind w:left="640" w:firstLine="64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ind w:firstLine="375"/>
      </w:pPr>
      <w:r>
        <w:rPr>
          <w:rStyle w:val="31"/>
        </w:rPr>
        <w:footnoteRef/>
      </w:r>
      <w:r>
        <w:t xml:space="preserve"> </w:t>
      </w:r>
      <w:r>
        <w:rPr>
          <w:rFonts w:hint="eastAsia"/>
        </w:rPr>
        <w:t>2018年投资统计制度改革，数据口径调整。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164"/>
  <w:drawingGridVerticalSpacing w:val="157"/>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BB"/>
    <w:rsid w:val="000004EA"/>
    <w:rsid w:val="00001318"/>
    <w:rsid w:val="0000684C"/>
    <w:rsid w:val="000113EF"/>
    <w:rsid w:val="00013271"/>
    <w:rsid w:val="00017510"/>
    <w:rsid w:val="00017C33"/>
    <w:rsid w:val="00021BC3"/>
    <w:rsid w:val="000238C4"/>
    <w:rsid w:val="000272C6"/>
    <w:rsid w:val="0003275D"/>
    <w:rsid w:val="00032DB1"/>
    <w:rsid w:val="000345D1"/>
    <w:rsid w:val="00036136"/>
    <w:rsid w:val="00037B90"/>
    <w:rsid w:val="000412FB"/>
    <w:rsid w:val="00041F15"/>
    <w:rsid w:val="00042410"/>
    <w:rsid w:val="00042648"/>
    <w:rsid w:val="00044865"/>
    <w:rsid w:val="00044C8D"/>
    <w:rsid w:val="00044D27"/>
    <w:rsid w:val="0004565A"/>
    <w:rsid w:val="000475C2"/>
    <w:rsid w:val="00047E22"/>
    <w:rsid w:val="00050C83"/>
    <w:rsid w:val="00050FE7"/>
    <w:rsid w:val="00051A99"/>
    <w:rsid w:val="00052CC9"/>
    <w:rsid w:val="0005333E"/>
    <w:rsid w:val="0005363E"/>
    <w:rsid w:val="00054F1A"/>
    <w:rsid w:val="00057C28"/>
    <w:rsid w:val="00061DB6"/>
    <w:rsid w:val="0006238B"/>
    <w:rsid w:val="000629B8"/>
    <w:rsid w:val="0006551E"/>
    <w:rsid w:val="0007153D"/>
    <w:rsid w:val="0007613F"/>
    <w:rsid w:val="00077291"/>
    <w:rsid w:val="00077F63"/>
    <w:rsid w:val="0009372B"/>
    <w:rsid w:val="00095793"/>
    <w:rsid w:val="00096ECD"/>
    <w:rsid w:val="000A04D4"/>
    <w:rsid w:val="000A2F2E"/>
    <w:rsid w:val="000A3632"/>
    <w:rsid w:val="000A53F5"/>
    <w:rsid w:val="000A5648"/>
    <w:rsid w:val="000A5C7E"/>
    <w:rsid w:val="000A6D58"/>
    <w:rsid w:val="000A7041"/>
    <w:rsid w:val="000A7BBB"/>
    <w:rsid w:val="000B2795"/>
    <w:rsid w:val="000B44F8"/>
    <w:rsid w:val="000B4DDA"/>
    <w:rsid w:val="000B5290"/>
    <w:rsid w:val="000B6997"/>
    <w:rsid w:val="000C003D"/>
    <w:rsid w:val="000C035E"/>
    <w:rsid w:val="000C1D31"/>
    <w:rsid w:val="000C3587"/>
    <w:rsid w:val="000C6514"/>
    <w:rsid w:val="000D0268"/>
    <w:rsid w:val="000D053D"/>
    <w:rsid w:val="000D51F8"/>
    <w:rsid w:val="000D5AB2"/>
    <w:rsid w:val="000E0FE7"/>
    <w:rsid w:val="000E17B7"/>
    <w:rsid w:val="000E533E"/>
    <w:rsid w:val="000E72FF"/>
    <w:rsid w:val="000E7D15"/>
    <w:rsid w:val="000F105F"/>
    <w:rsid w:val="000F2924"/>
    <w:rsid w:val="000F40C1"/>
    <w:rsid w:val="000F49D5"/>
    <w:rsid w:val="000F748D"/>
    <w:rsid w:val="000F77C8"/>
    <w:rsid w:val="00100C51"/>
    <w:rsid w:val="00100CF7"/>
    <w:rsid w:val="001023C5"/>
    <w:rsid w:val="00102A73"/>
    <w:rsid w:val="00104BE7"/>
    <w:rsid w:val="00104C8A"/>
    <w:rsid w:val="0010556A"/>
    <w:rsid w:val="001056D9"/>
    <w:rsid w:val="001062D2"/>
    <w:rsid w:val="00111C17"/>
    <w:rsid w:val="00114037"/>
    <w:rsid w:val="0011669A"/>
    <w:rsid w:val="001166BE"/>
    <w:rsid w:val="00116A59"/>
    <w:rsid w:val="0012060C"/>
    <w:rsid w:val="001222F0"/>
    <w:rsid w:val="00123D47"/>
    <w:rsid w:val="00125049"/>
    <w:rsid w:val="0013097D"/>
    <w:rsid w:val="001319BA"/>
    <w:rsid w:val="001331D3"/>
    <w:rsid w:val="00141A74"/>
    <w:rsid w:val="001420C1"/>
    <w:rsid w:val="0014500E"/>
    <w:rsid w:val="00145C7A"/>
    <w:rsid w:val="00151892"/>
    <w:rsid w:val="00152702"/>
    <w:rsid w:val="0015652A"/>
    <w:rsid w:val="00157612"/>
    <w:rsid w:val="001632F4"/>
    <w:rsid w:val="00163FBF"/>
    <w:rsid w:val="0016744A"/>
    <w:rsid w:val="00170FCA"/>
    <w:rsid w:val="001711A5"/>
    <w:rsid w:val="00175328"/>
    <w:rsid w:val="00177D32"/>
    <w:rsid w:val="001803E5"/>
    <w:rsid w:val="00181237"/>
    <w:rsid w:val="00183174"/>
    <w:rsid w:val="00184E42"/>
    <w:rsid w:val="00187275"/>
    <w:rsid w:val="00192504"/>
    <w:rsid w:val="00192ECA"/>
    <w:rsid w:val="0019474E"/>
    <w:rsid w:val="00194E0D"/>
    <w:rsid w:val="00196876"/>
    <w:rsid w:val="001A3649"/>
    <w:rsid w:val="001A4B7E"/>
    <w:rsid w:val="001A617E"/>
    <w:rsid w:val="001A6A24"/>
    <w:rsid w:val="001A7C10"/>
    <w:rsid w:val="001B0141"/>
    <w:rsid w:val="001B6406"/>
    <w:rsid w:val="001B6F4F"/>
    <w:rsid w:val="001B75C3"/>
    <w:rsid w:val="001C17BC"/>
    <w:rsid w:val="001C1B80"/>
    <w:rsid w:val="001C3CA2"/>
    <w:rsid w:val="001C42D7"/>
    <w:rsid w:val="001C575B"/>
    <w:rsid w:val="001C6073"/>
    <w:rsid w:val="001C6667"/>
    <w:rsid w:val="001C735B"/>
    <w:rsid w:val="001D0DBC"/>
    <w:rsid w:val="001D15F8"/>
    <w:rsid w:val="001D18EC"/>
    <w:rsid w:val="001D33F7"/>
    <w:rsid w:val="001D4DEA"/>
    <w:rsid w:val="001D7C12"/>
    <w:rsid w:val="001E10C0"/>
    <w:rsid w:val="001E1DF2"/>
    <w:rsid w:val="001E35A3"/>
    <w:rsid w:val="001E4094"/>
    <w:rsid w:val="001E6208"/>
    <w:rsid w:val="001E6C84"/>
    <w:rsid w:val="001E6E0B"/>
    <w:rsid w:val="001F025B"/>
    <w:rsid w:val="001F52D5"/>
    <w:rsid w:val="001F602F"/>
    <w:rsid w:val="001F760E"/>
    <w:rsid w:val="00201BB4"/>
    <w:rsid w:val="0020240D"/>
    <w:rsid w:val="00204FD0"/>
    <w:rsid w:val="00205FC5"/>
    <w:rsid w:val="00207C88"/>
    <w:rsid w:val="00212677"/>
    <w:rsid w:val="00212B27"/>
    <w:rsid w:val="00212FBC"/>
    <w:rsid w:val="00213304"/>
    <w:rsid w:val="002144CF"/>
    <w:rsid w:val="002220BF"/>
    <w:rsid w:val="00223B9C"/>
    <w:rsid w:val="0022539C"/>
    <w:rsid w:val="00230E3C"/>
    <w:rsid w:val="00235C06"/>
    <w:rsid w:val="00245B26"/>
    <w:rsid w:val="002462B7"/>
    <w:rsid w:val="002463C1"/>
    <w:rsid w:val="0024723F"/>
    <w:rsid w:val="00247386"/>
    <w:rsid w:val="002478DF"/>
    <w:rsid w:val="00247CE5"/>
    <w:rsid w:val="002500D0"/>
    <w:rsid w:val="0025458F"/>
    <w:rsid w:val="002624E4"/>
    <w:rsid w:val="002637C8"/>
    <w:rsid w:val="00264E1D"/>
    <w:rsid w:val="00272CA3"/>
    <w:rsid w:val="00274F60"/>
    <w:rsid w:val="0027666E"/>
    <w:rsid w:val="002803CA"/>
    <w:rsid w:val="00283B81"/>
    <w:rsid w:val="002847D9"/>
    <w:rsid w:val="00286DF2"/>
    <w:rsid w:val="002871E8"/>
    <w:rsid w:val="00287969"/>
    <w:rsid w:val="0029004A"/>
    <w:rsid w:val="002911EE"/>
    <w:rsid w:val="0029209C"/>
    <w:rsid w:val="00294868"/>
    <w:rsid w:val="00296CB1"/>
    <w:rsid w:val="002A1A8A"/>
    <w:rsid w:val="002A2AE0"/>
    <w:rsid w:val="002A39E6"/>
    <w:rsid w:val="002B2543"/>
    <w:rsid w:val="002B27BB"/>
    <w:rsid w:val="002B2D25"/>
    <w:rsid w:val="002B662A"/>
    <w:rsid w:val="002B7F80"/>
    <w:rsid w:val="002C3719"/>
    <w:rsid w:val="002C5009"/>
    <w:rsid w:val="002C5317"/>
    <w:rsid w:val="002C6153"/>
    <w:rsid w:val="002D6C7F"/>
    <w:rsid w:val="002D7A95"/>
    <w:rsid w:val="002E39EF"/>
    <w:rsid w:val="002E400F"/>
    <w:rsid w:val="002E55B4"/>
    <w:rsid w:val="002E6FC9"/>
    <w:rsid w:val="002F2318"/>
    <w:rsid w:val="002F78FE"/>
    <w:rsid w:val="003025FA"/>
    <w:rsid w:val="00312237"/>
    <w:rsid w:val="00313E7D"/>
    <w:rsid w:val="00315826"/>
    <w:rsid w:val="00315D15"/>
    <w:rsid w:val="003175FC"/>
    <w:rsid w:val="00322546"/>
    <w:rsid w:val="0032298F"/>
    <w:rsid w:val="0032357D"/>
    <w:rsid w:val="00323EAE"/>
    <w:rsid w:val="00324FBB"/>
    <w:rsid w:val="00326291"/>
    <w:rsid w:val="00332877"/>
    <w:rsid w:val="003332CF"/>
    <w:rsid w:val="00335176"/>
    <w:rsid w:val="00336FEC"/>
    <w:rsid w:val="00340F99"/>
    <w:rsid w:val="003430B4"/>
    <w:rsid w:val="00344152"/>
    <w:rsid w:val="0034507F"/>
    <w:rsid w:val="00356173"/>
    <w:rsid w:val="00356FA1"/>
    <w:rsid w:val="003630A4"/>
    <w:rsid w:val="003640F9"/>
    <w:rsid w:val="00367828"/>
    <w:rsid w:val="003708B0"/>
    <w:rsid w:val="00374CDF"/>
    <w:rsid w:val="0037626A"/>
    <w:rsid w:val="003812E8"/>
    <w:rsid w:val="003869D1"/>
    <w:rsid w:val="003936C7"/>
    <w:rsid w:val="003952F6"/>
    <w:rsid w:val="003A3842"/>
    <w:rsid w:val="003A562C"/>
    <w:rsid w:val="003A6210"/>
    <w:rsid w:val="003B02E1"/>
    <w:rsid w:val="003B4A25"/>
    <w:rsid w:val="003C05BB"/>
    <w:rsid w:val="003C1811"/>
    <w:rsid w:val="003C68A1"/>
    <w:rsid w:val="003C7B92"/>
    <w:rsid w:val="003D6B68"/>
    <w:rsid w:val="003D7A26"/>
    <w:rsid w:val="003D7BD7"/>
    <w:rsid w:val="003D7E85"/>
    <w:rsid w:val="003E023C"/>
    <w:rsid w:val="003E09FB"/>
    <w:rsid w:val="003E0A93"/>
    <w:rsid w:val="003E31F8"/>
    <w:rsid w:val="003E5C78"/>
    <w:rsid w:val="003E5ED8"/>
    <w:rsid w:val="003E7611"/>
    <w:rsid w:val="003F39A3"/>
    <w:rsid w:val="003F49C9"/>
    <w:rsid w:val="003F4DCA"/>
    <w:rsid w:val="003F68B3"/>
    <w:rsid w:val="003F6B5F"/>
    <w:rsid w:val="00400ABF"/>
    <w:rsid w:val="00401643"/>
    <w:rsid w:val="00403B79"/>
    <w:rsid w:val="00404BC6"/>
    <w:rsid w:val="004104EA"/>
    <w:rsid w:val="00410699"/>
    <w:rsid w:val="00410944"/>
    <w:rsid w:val="00411A42"/>
    <w:rsid w:val="004154E6"/>
    <w:rsid w:val="00415CB1"/>
    <w:rsid w:val="00416C54"/>
    <w:rsid w:val="00416D9C"/>
    <w:rsid w:val="00423277"/>
    <w:rsid w:val="00423A53"/>
    <w:rsid w:val="00423F12"/>
    <w:rsid w:val="004243A6"/>
    <w:rsid w:val="004259B8"/>
    <w:rsid w:val="004271C2"/>
    <w:rsid w:val="00433B36"/>
    <w:rsid w:val="00434DA4"/>
    <w:rsid w:val="0043723E"/>
    <w:rsid w:val="004431BF"/>
    <w:rsid w:val="00444C89"/>
    <w:rsid w:val="00445976"/>
    <w:rsid w:val="00447393"/>
    <w:rsid w:val="00450D9E"/>
    <w:rsid w:val="0045118F"/>
    <w:rsid w:val="00451B53"/>
    <w:rsid w:val="00456F85"/>
    <w:rsid w:val="004609A3"/>
    <w:rsid w:val="00465537"/>
    <w:rsid w:val="00466B88"/>
    <w:rsid w:val="00470F67"/>
    <w:rsid w:val="00475319"/>
    <w:rsid w:val="0047579A"/>
    <w:rsid w:val="00477B06"/>
    <w:rsid w:val="00483ACA"/>
    <w:rsid w:val="004859A0"/>
    <w:rsid w:val="004917E0"/>
    <w:rsid w:val="0049713A"/>
    <w:rsid w:val="0049756A"/>
    <w:rsid w:val="0049768A"/>
    <w:rsid w:val="00497D43"/>
    <w:rsid w:val="004A12FF"/>
    <w:rsid w:val="004A24A3"/>
    <w:rsid w:val="004A3E25"/>
    <w:rsid w:val="004A40A2"/>
    <w:rsid w:val="004A426E"/>
    <w:rsid w:val="004A4DFB"/>
    <w:rsid w:val="004A67E8"/>
    <w:rsid w:val="004A6837"/>
    <w:rsid w:val="004A740B"/>
    <w:rsid w:val="004A7CFB"/>
    <w:rsid w:val="004B286C"/>
    <w:rsid w:val="004B5C07"/>
    <w:rsid w:val="004C12B2"/>
    <w:rsid w:val="004C35AE"/>
    <w:rsid w:val="004C6814"/>
    <w:rsid w:val="004D1C42"/>
    <w:rsid w:val="004D21DE"/>
    <w:rsid w:val="004D2807"/>
    <w:rsid w:val="004D5AD0"/>
    <w:rsid w:val="004D6BC8"/>
    <w:rsid w:val="004E1746"/>
    <w:rsid w:val="004E2C00"/>
    <w:rsid w:val="004E2FED"/>
    <w:rsid w:val="004E3036"/>
    <w:rsid w:val="004E596B"/>
    <w:rsid w:val="004F15AC"/>
    <w:rsid w:val="004F39E4"/>
    <w:rsid w:val="004F52D4"/>
    <w:rsid w:val="004F559F"/>
    <w:rsid w:val="0050042C"/>
    <w:rsid w:val="00502E68"/>
    <w:rsid w:val="00505D24"/>
    <w:rsid w:val="00513676"/>
    <w:rsid w:val="00513FA0"/>
    <w:rsid w:val="0051505F"/>
    <w:rsid w:val="005222FF"/>
    <w:rsid w:val="005226EC"/>
    <w:rsid w:val="00523390"/>
    <w:rsid w:val="00527C3C"/>
    <w:rsid w:val="00530902"/>
    <w:rsid w:val="00536C49"/>
    <w:rsid w:val="00540DAB"/>
    <w:rsid w:val="005425F1"/>
    <w:rsid w:val="0054621A"/>
    <w:rsid w:val="0054676D"/>
    <w:rsid w:val="005470D9"/>
    <w:rsid w:val="00551F89"/>
    <w:rsid w:val="00552C5D"/>
    <w:rsid w:val="00554AB6"/>
    <w:rsid w:val="005603D7"/>
    <w:rsid w:val="00560B3C"/>
    <w:rsid w:val="00560CA4"/>
    <w:rsid w:val="0056122A"/>
    <w:rsid w:val="0056182B"/>
    <w:rsid w:val="00561CEA"/>
    <w:rsid w:val="0056248D"/>
    <w:rsid w:val="00566660"/>
    <w:rsid w:val="00566FF4"/>
    <w:rsid w:val="00570561"/>
    <w:rsid w:val="00573905"/>
    <w:rsid w:val="00574330"/>
    <w:rsid w:val="00575B74"/>
    <w:rsid w:val="00575D8B"/>
    <w:rsid w:val="0057694D"/>
    <w:rsid w:val="0058018B"/>
    <w:rsid w:val="00583533"/>
    <w:rsid w:val="005836AB"/>
    <w:rsid w:val="00584141"/>
    <w:rsid w:val="005845CD"/>
    <w:rsid w:val="00585FFD"/>
    <w:rsid w:val="0058606A"/>
    <w:rsid w:val="00587C59"/>
    <w:rsid w:val="005917EE"/>
    <w:rsid w:val="00592BC0"/>
    <w:rsid w:val="005936AD"/>
    <w:rsid w:val="00594ADC"/>
    <w:rsid w:val="005966F0"/>
    <w:rsid w:val="00597619"/>
    <w:rsid w:val="005A05A2"/>
    <w:rsid w:val="005A1BEC"/>
    <w:rsid w:val="005A24BF"/>
    <w:rsid w:val="005A5292"/>
    <w:rsid w:val="005A5638"/>
    <w:rsid w:val="005B0E92"/>
    <w:rsid w:val="005B23D7"/>
    <w:rsid w:val="005B4B36"/>
    <w:rsid w:val="005C4389"/>
    <w:rsid w:val="005C51D1"/>
    <w:rsid w:val="005D0EA6"/>
    <w:rsid w:val="005D427A"/>
    <w:rsid w:val="005D752E"/>
    <w:rsid w:val="005E005D"/>
    <w:rsid w:val="005E424F"/>
    <w:rsid w:val="005F323C"/>
    <w:rsid w:val="005F5487"/>
    <w:rsid w:val="005F6C1C"/>
    <w:rsid w:val="006013E7"/>
    <w:rsid w:val="00602378"/>
    <w:rsid w:val="00602509"/>
    <w:rsid w:val="00602596"/>
    <w:rsid w:val="006026BE"/>
    <w:rsid w:val="00602E0D"/>
    <w:rsid w:val="00605676"/>
    <w:rsid w:val="00606ABE"/>
    <w:rsid w:val="00607564"/>
    <w:rsid w:val="00612430"/>
    <w:rsid w:val="00612EA7"/>
    <w:rsid w:val="00614293"/>
    <w:rsid w:val="00614A69"/>
    <w:rsid w:val="00617A1E"/>
    <w:rsid w:val="00621F9E"/>
    <w:rsid w:val="006252D0"/>
    <w:rsid w:val="006269B4"/>
    <w:rsid w:val="00626C97"/>
    <w:rsid w:val="0062729D"/>
    <w:rsid w:val="0063025A"/>
    <w:rsid w:val="00631492"/>
    <w:rsid w:val="006318A0"/>
    <w:rsid w:val="00631DA1"/>
    <w:rsid w:val="00632F10"/>
    <w:rsid w:val="0063370D"/>
    <w:rsid w:val="00637096"/>
    <w:rsid w:val="00637890"/>
    <w:rsid w:val="00640AD3"/>
    <w:rsid w:val="006423C2"/>
    <w:rsid w:val="00651F6C"/>
    <w:rsid w:val="006523BB"/>
    <w:rsid w:val="00652723"/>
    <w:rsid w:val="006537CE"/>
    <w:rsid w:val="00660DB5"/>
    <w:rsid w:val="006638B8"/>
    <w:rsid w:val="00663F98"/>
    <w:rsid w:val="006667CF"/>
    <w:rsid w:val="006679B9"/>
    <w:rsid w:val="00672765"/>
    <w:rsid w:val="0067308A"/>
    <w:rsid w:val="006740F4"/>
    <w:rsid w:val="00674C5A"/>
    <w:rsid w:val="0068000B"/>
    <w:rsid w:val="00682EBE"/>
    <w:rsid w:val="006831A7"/>
    <w:rsid w:val="00687E83"/>
    <w:rsid w:val="00690274"/>
    <w:rsid w:val="00690BB4"/>
    <w:rsid w:val="00693369"/>
    <w:rsid w:val="006938A6"/>
    <w:rsid w:val="00693DC7"/>
    <w:rsid w:val="00695289"/>
    <w:rsid w:val="006A08C0"/>
    <w:rsid w:val="006A47DF"/>
    <w:rsid w:val="006B0664"/>
    <w:rsid w:val="006B16B0"/>
    <w:rsid w:val="006B4355"/>
    <w:rsid w:val="006C1199"/>
    <w:rsid w:val="006C23F1"/>
    <w:rsid w:val="006C3435"/>
    <w:rsid w:val="006C4E43"/>
    <w:rsid w:val="006D0138"/>
    <w:rsid w:val="006D1E34"/>
    <w:rsid w:val="006D1F54"/>
    <w:rsid w:val="006D2C78"/>
    <w:rsid w:val="006D7CB7"/>
    <w:rsid w:val="006E0126"/>
    <w:rsid w:val="006E10D3"/>
    <w:rsid w:val="006E129A"/>
    <w:rsid w:val="006E2974"/>
    <w:rsid w:val="006E29DE"/>
    <w:rsid w:val="006E4E30"/>
    <w:rsid w:val="006E4ED2"/>
    <w:rsid w:val="006E5B60"/>
    <w:rsid w:val="006E7953"/>
    <w:rsid w:val="006F0072"/>
    <w:rsid w:val="006F1381"/>
    <w:rsid w:val="006F2FE4"/>
    <w:rsid w:val="006F361B"/>
    <w:rsid w:val="006F3A09"/>
    <w:rsid w:val="006F51EA"/>
    <w:rsid w:val="00700A10"/>
    <w:rsid w:val="007012CF"/>
    <w:rsid w:val="00701A58"/>
    <w:rsid w:val="00704ADB"/>
    <w:rsid w:val="00705905"/>
    <w:rsid w:val="00711864"/>
    <w:rsid w:val="007128B4"/>
    <w:rsid w:val="00713BFC"/>
    <w:rsid w:val="007163D1"/>
    <w:rsid w:val="007215FD"/>
    <w:rsid w:val="00722A5D"/>
    <w:rsid w:val="00723FAE"/>
    <w:rsid w:val="00724762"/>
    <w:rsid w:val="007255D3"/>
    <w:rsid w:val="00725C8F"/>
    <w:rsid w:val="0072791A"/>
    <w:rsid w:val="00736804"/>
    <w:rsid w:val="007417DE"/>
    <w:rsid w:val="0074243D"/>
    <w:rsid w:val="00742689"/>
    <w:rsid w:val="00745119"/>
    <w:rsid w:val="00752151"/>
    <w:rsid w:val="0075250D"/>
    <w:rsid w:val="007531BE"/>
    <w:rsid w:val="00753688"/>
    <w:rsid w:val="00755625"/>
    <w:rsid w:val="007556A2"/>
    <w:rsid w:val="00757A3E"/>
    <w:rsid w:val="00764324"/>
    <w:rsid w:val="00765397"/>
    <w:rsid w:val="00765F29"/>
    <w:rsid w:val="00770B59"/>
    <w:rsid w:val="00770F3C"/>
    <w:rsid w:val="00771B74"/>
    <w:rsid w:val="00780F0B"/>
    <w:rsid w:val="007812A7"/>
    <w:rsid w:val="00781A9F"/>
    <w:rsid w:val="00784377"/>
    <w:rsid w:val="00784492"/>
    <w:rsid w:val="00784FB7"/>
    <w:rsid w:val="00786E9A"/>
    <w:rsid w:val="007872FC"/>
    <w:rsid w:val="007901EA"/>
    <w:rsid w:val="007907EC"/>
    <w:rsid w:val="00790957"/>
    <w:rsid w:val="00793FBC"/>
    <w:rsid w:val="00794138"/>
    <w:rsid w:val="007A308A"/>
    <w:rsid w:val="007A3BB1"/>
    <w:rsid w:val="007A5915"/>
    <w:rsid w:val="007B10DC"/>
    <w:rsid w:val="007B11CB"/>
    <w:rsid w:val="007B247A"/>
    <w:rsid w:val="007B3F8B"/>
    <w:rsid w:val="007B4663"/>
    <w:rsid w:val="007B5B2D"/>
    <w:rsid w:val="007B6B12"/>
    <w:rsid w:val="007B6BC4"/>
    <w:rsid w:val="007B7E04"/>
    <w:rsid w:val="007C05EA"/>
    <w:rsid w:val="007C0B21"/>
    <w:rsid w:val="007C150F"/>
    <w:rsid w:val="007C36DA"/>
    <w:rsid w:val="007C3E15"/>
    <w:rsid w:val="007C4A1F"/>
    <w:rsid w:val="007C5DB0"/>
    <w:rsid w:val="007C6BDE"/>
    <w:rsid w:val="007D0ECC"/>
    <w:rsid w:val="007D2701"/>
    <w:rsid w:val="007D33B0"/>
    <w:rsid w:val="007D3BD5"/>
    <w:rsid w:val="007D501E"/>
    <w:rsid w:val="007D6466"/>
    <w:rsid w:val="007D654C"/>
    <w:rsid w:val="007E2032"/>
    <w:rsid w:val="007E3684"/>
    <w:rsid w:val="007E675A"/>
    <w:rsid w:val="007E6DDD"/>
    <w:rsid w:val="007E7B3C"/>
    <w:rsid w:val="007F3522"/>
    <w:rsid w:val="007F45B5"/>
    <w:rsid w:val="007F5305"/>
    <w:rsid w:val="007F5BCF"/>
    <w:rsid w:val="007F67D9"/>
    <w:rsid w:val="007F6A0D"/>
    <w:rsid w:val="00803B10"/>
    <w:rsid w:val="00803F47"/>
    <w:rsid w:val="00805714"/>
    <w:rsid w:val="00807388"/>
    <w:rsid w:val="008100FA"/>
    <w:rsid w:val="00810315"/>
    <w:rsid w:val="0081129E"/>
    <w:rsid w:val="00811EC3"/>
    <w:rsid w:val="00813957"/>
    <w:rsid w:val="00813D3C"/>
    <w:rsid w:val="0081614B"/>
    <w:rsid w:val="008169EF"/>
    <w:rsid w:val="008208F6"/>
    <w:rsid w:val="008249D8"/>
    <w:rsid w:val="0083091D"/>
    <w:rsid w:val="008313E4"/>
    <w:rsid w:val="00833AC8"/>
    <w:rsid w:val="0083566E"/>
    <w:rsid w:val="00835B98"/>
    <w:rsid w:val="00843D24"/>
    <w:rsid w:val="008447E3"/>
    <w:rsid w:val="00846528"/>
    <w:rsid w:val="0084682C"/>
    <w:rsid w:val="00847592"/>
    <w:rsid w:val="00847B67"/>
    <w:rsid w:val="00850608"/>
    <w:rsid w:val="00854007"/>
    <w:rsid w:val="00861F85"/>
    <w:rsid w:val="008656AA"/>
    <w:rsid w:val="00865BD8"/>
    <w:rsid w:val="0086739A"/>
    <w:rsid w:val="00867A88"/>
    <w:rsid w:val="00871EC3"/>
    <w:rsid w:val="00872318"/>
    <w:rsid w:val="008732A9"/>
    <w:rsid w:val="00875997"/>
    <w:rsid w:val="00875D34"/>
    <w:rsid w:val="008776B0"/>
    <w:rsid w:val="00881058"/>
    <w:rsid w:val="008814AC"/>
    <w:rsid w:val="0088176A"/>
    <w:rsid w:val="00884A02"/>
    <w:rsid w:val="00886249"/>
    <w:rsid w:val="00886C97"/>
    <w:rsid w:val="00887750"/>
    <w:rsid w:val="00887B21"/>
    <w:rsid w:val="00890CE2"/>
    <w:rsid w:val="00891852"/>
    <w:rsid w:val="00892AB4"/>
    <w:rsid w:val="00893EEC"/>
    <w:rsid w:val="00894D8A"/>
    <w:rsid w:val="00896C83"/>
    <w:rsid w:val="00896FE0"/>
    <w:rsid w:val="008A0497"/>
    <w:rsid w:val="008A1116"/>
    <w:rsid w:val="008A6A51"/>
    <w:rsid w:val="008A6DFF"/>
    <w:rsid w:val="008A7B0B"/>
    <w:rsid w:val="008B2D1E"/>
    <w:rsid w:val="008B3185"/>
    <w:rsid w:val="008B60E2"/>
    <w:rsid w:val="008C09E7"/>
    <w:rsid w:val="008C20E4"/>
    <w:rsid w:val="008C4D79"/>
    <w:rsid w:val="008C6CD8"/>
    <w:rsid w:val="008D0B0F"/>
    <w:rsid w:val="008D1773"/>
    <w:rsid w:val="008D22A0"/>
    <w:rsid w:val="008D5AD8"/>
    <w:rsid w:val="008D6397"/>
    <w:rsid w:val="008D6AA3"/>
    <w:rsid w:val="008D73EF"/>
    <w:rsid w:val="008E1DA9"/>
    <w:rsid w:val="008E254F"/>
    <w:rsid w:val="008E38F6"/>
    <w:rsid w:val="008E4B7B"/>
    <w:rsid w:val="008E5513"/>
    <w:rsid w:val="008F0287"/>
    <w:rsid w:val="008F18E3"/>
    <w:rsid w:val="008F50AC"/>
    <w:rsid w:val="009002A0"/>
    <w:rsid w:val="00900E1D"/>
    <w:rsid w:val="00901C96"/>
    <w:rsid w:val="00902BB0"/>
    <w:rsid w:val="009105F2"/>
    <w:rsid w:val="009127FD"/>
    <w:rsid w:val="00914BC8"/>
    <w:rsid w:val="00916D6F"/>
    <w:rsid w:val="00917102"/>
    <w:rsid w:val="00917C05"/>
    <w:rsid w:val="009215E1"/>
    <w:rsid w:val="0092162A"/>
    <w:rsid w:val="00925726"/>
    <w:rsid w:val="0092710D"/>
    <w:rsid w:val="00927BCD"/>
    <w:rsid w:val="009423E3"/>
    <w:rsid w:val="009437E2"/>
    <w:rsid w:val="0094668B"/>
    <w:rsid w:val="009519BB"/>
    <w:rsid w:val="00952919"/>
    <w:rsid w:val="00952E0A"/>
    <w:rsid w:val="009532ED"/>
    <w:rsid w:val="00954DB5"/>
    <w:rsid w:val="00956416"/>
    <w:rsid w:val="00960CC5"/>
    <w:rsid w:val="0096127F"/>
    <w:rsid w:val="0096179B"/>
    <w:rsid w:val="00962B47"/>
    <w:rsid w:val="00963167"/>
    <w:rsid w:val="0096452A"/>
    <w:rsid w:val="00964D6A"/>
    <w:rsid w:val="009656BB"/>
    <w:rsid w:val="00965DEF"/>
    <w:rsid w:val="00975825"/>
    <w:rsid w:val="009761B8"/>
    <w:rsid w:val="00976F89"/>
    <w:rsid w:val="00977FFB"/>
    <w:rsid w:val="00981C9C"/>
    <w:rsid w:val="00983E90"/>
    <w:rsid w:val="00985CC2"/>
    <w:rsid w:val="00986B00"/>
    <w:rsid w:val="00987815"/>
    <w:rsid w:val="00991DCE"/>
    <w:rsid w:val="00997BF6"/>
    <w:rsid w:val="009A2CC9"/>
    <w:rsid w:val="009A3EC8"/>
    <w:rsid w:val="009A5DA7"/>
    <w:rsid w:val="009A65D6"/>
    <w:rsid w:val="009A6FDB"/>
    <w:rsid w:val="009B1020"/>
    <w:rsid w:val="009B2D5D"/>
    <w:rsid w:val="009B4855"/>
    <w:rsid w:val="009B6A96"/>
    <w:rsid w:val="009C02AA"/>
    <w:rsid w:val="009C229A"/>
    <w:rsid w:val="009C23D8"/>
    <w:rsid w:val="009C2EBE"/>
    <w:rsid w:val="009C4564"/>
    <w:rsid w:val="009C4903"/>
    <w:rsid w:val="009D5EB6"/>
    <w:rsid w:val="009D782A"/>
    <w:rsid w:val="009E0083"/>
    <w:rsid w:val="009E0C94"/>
    <w:rsid w:val="009E3395"/>
    <w:rsid w:val="009E470D"/>
    <w:rsid w:val="009E49C5"/>
    <w:rsid w:val="009E71E7"/>
    <w:rsid w:val="009F0B0B"/>
    <w:rsid w:val="009F0E2B"/>
    <w:rsid w:val="009F113C"/>
    <w:rsid w:val="009F24C8"/>
    <w:rsid w:val="009F24FF"/>
    <w:rsid w:val="009F31D4"/>
    <w:rsid w:val="009F4BC0"/>
    <w:rsid w:val="009F6ED2"/>
    <w:rsid w:val="009F7589"/>
    <w:rsid w:val="00A01BB9"/>
    <w:rsid w:val="00A023BF"/>
    <w:rsid w:val="00A03C5C"/>
    <w:rsid w:val="00A03DE1"/>
    <w:rsid w:val="00A04DB2"/>
    <w:rsid w:val="00A0518D"/>
    <w:rsid w:val="00A0788D"/>
    <w:rsid w:val="00A10888"/>
    <w:rsid w:val="00A1336E"/>
    <w:rsid w:val="00A166AB"/>
    <w:rsid w:val="00A17966"/>
    <w:rsid w:val="00A21ADB"/>
    <w:rsid w:val="00A2237A"/>
    <w:rsid w:val="00A22806"/>
    <w:rsid w:val="00A233E3"/>
    <w:rsid w:val="00A2507A"/>
    <w:rsid w:val="00A25148"/>
    <w:rsid w:val="00A321A3"/>
    <w:rsid w:val="00A35007"/>
    <w:rsid w:val="00A352F5"/>
    <w:rsid w:val="00A371CD"/>
    <w:rsid w:val="00A37509"/>
    <w:rsid w:val="00A4138A"/>
    <w:rsid w:val="00A4239F"/>
    <w:rsid w:val="00A43ED0"/>
    <w:rsid w:val="00A4436A"/>
    <w:rsid w:val="00A449B8"/>
    <w:rsid w:val="00A47AD6"/>
    <w:rsid w:val="00A50F44"/>
    <w:rsid w:val="00A51E35"/>
    <w:rsid w:val="00A53CA2"/>
    <w:rsid w:val="00A555C3"/>
    <w:rsid w:val="00A55C54"/>
    <w:rsid w:val="00A644EB"/>
    <w:rsid w:val="00A66948"/>
    <w:rsid w:val="00A67890"/>
    <w:rsid w:val="00A7056D"/>
    <w:rsid w:val="00A71D52"/>
    <w:rsid w:val="00A77554"/>
    <w:rsid w:val="00A80EFF"/>
    <w:rsid w:val="00A827B7"/>
    <w:rsid w:val="00A85BC1"/>
    <w:rsid w:val="00A87A94"/>
    <w:rsid w:val="00A90741"/>
    <w:rsid w:val="00A90DC8"/>
    <w:rsid w:val="00A917FD"/>
    <w:rsid w:val="00A9187C"/>
    <w:rsid w:val="00A92E17"/>
    <w:rsid w:val="00A952EF"/>
    <w:rsid w:val="00A97EE6"/>
    <w:rsid w:val="00AA1ADD"/>
    <w:rsid w:val="00AA27A5"/>
    <w:rsid w:val="00AA292B"/>
    <w:rsid w:val="00AA4C5F"/>
    <w:rsid w:val="00AB344E"/>
    <w:rsid w:val="00AB56B6"/>
    <w:rsid w:val="00AB58AF"/>
    <w:rsid w:val="00AB60DA"/>
    <w:rsid w:val="00AB697D"/>
    <w:rsid w:val="00AB6B86"/>
    <w:rsid w:val="00AB7563"/>
    <w:rsid w:val="00AC34D6"/>
    <w:rsid w:val="00AC39AB"/>
    <w:rsid w:val="00AC4F97"/>
    <w:rsid w:val="00AC7263"/>
    <w:rsid w:val="00AD0228"/>
    <w:rsid w:val="00AD02A4"/>
    <w:rsid w:val="00AD338A"/>
    <w:rsid w:val="00AD3530"/>
    <w:rsid w:val="00AD48A7"/>
    <w:rsid w:val="00AD4DD8"/>
    <w:rsid w:val="00AD6868"/>
    <w:rsid w:val="00AE0097"/>
    <w:rsid w:val="00AE2801"/>
    <w:rsid w:val="00AE6A55"/>
    <w:rsid w:val="00AF0F71"/>
    <w:rsid w:val="00AF2FFE"/>
    <w:rsid w:val="00AF4B4E"/>
    <w:rsid w:val="00AF4B9F"/>
    <w:rsid w:val="00B004AF"/>
    <w:rsid w:val="00B02F40"/>
    <w:rsid w:val="00B04926"/>
    <w:rsid w:val="00B07B01"/>
    <w:rsid w:val="00B11846"/>
    <w:rsid w:val="00B12F14"/>
    <w:rsid w:val="00B14FF3"/>
    <w:rsid w:val="00B23FB5"/>
    <w:rsid w:val="00B2503C"/>
    <w:rsid w:val="00B27983"/>
    <w:rsid w:val="00B27FFD"/>
    <w:rsid w:val="00B32076"/>
    <w:rsid w:val="00B32FC4"/>
    <w:rsid w:val="00B3702D"/>
    <w:rsid w:val="00B37E0C"/>
    <w:rsid w:val="00B410D9"/>
    <w:rsid w:val="00B516EC"/>
    <w:rsid w:val="00B53C43"/>
    <w:rsid w:val="00B554DD"/>
    <w:rsid w:val="00B61D59"/>
    <w:rsid w:val="00B61E0C"/>
    <w:rsid w:val="00B63FC4"/>
    <w:rsid w:val="00B648B7"/>
    <w:rsid w:val="00B66C6A"/>
    <w:rsid w:val="00B67C00"/>
    <w:rsid w:val="00B70771"/>
    <w:rsid w:val="00B74E62"/>
    <w:rsid w:val="00B75CD7"/>
    <w:rsid w:val="00B77B28"/>
    <w:rsid w:val="00B814FF"/>
    <w:rsid w:val="00B8255A"/>
    <w:rsid w:val="00B828EB"/>
    <w:rsid w:val="00B83CC5"/>
    <w:rsid w:val="00B8547C"/>
    <w:rsid w:val="00B85F1F"/>
    <w:rsid w:val="00B86904"/>
    <w:rsid w:val="00B90801"/>
    <w:rsid w:val="00B910EC"/>
    <w:rsid w:val="00B9161B"/>
    <w:rsid w:val="00B919CD"/>
    <w:rsid w:val="00B95441"/>
    <w:rsid w:val="00B9549E"/>
    <w:rsid w:val="00B963F2"/>
    <w:rsid w:val="00BA08FB"/>
    <w:rsid w:val="00BA21E6"/>
    <w:rsid w:val="00BA2E80"/>
    <w:rsid w:val="00BA3FC6"/>
    <w:rsid w:val="00BA539E"/>
    <w:rsid w:val="00BA5B75"/>
    <w:rsid w:val="00BA6203"/>
    <w:rsid w:val="00BA6FDD"/>
    <w:rsid w:val="00BB2076"/>
    <w:rsid w:val="00BB6100"/>
    <w:rsid w:val="00BC2FC8"/>
    <w:rsid w:val="00BC3994"/>
    <w:rsid w:val="00BC3FBB"/>
    <w:rsid w:val="00BC6D8A"/>
    <w:rsid w:val="00BD1654"/>
    <w:rsid w:val="00BD4395"/>
    <w:rsid w:val="00BD499C"/>
    <w:rsid w:val="00BD5010"/>
    <w:rsid w:val="00BD543B"/>
    <w:rsid w:val="00BD5705"/>
    <w:rsid w:val="00BD587A"/>
    <w:rsid w:val="00BD64B0"/>
    <w:rsid w:val="00BD695A"/>
    <w:rsid w:val="00BD7A9F"/>
    <w:rsid w:val="00BE10D0"/>
    <w:rsid w:val="00BE14A6"/>
    <w:rsid w:val="00BE1586"/>
    <w:rsid w:val="00BE1A8F"/>
    <w:rsid w:val="00BE345C"/>
    <w:rsid w:val="00BE5960"/>
    <w:rsid w:val="00BE5C62"/>
    <w:rsid w:val="00BE6B77"/>
    <w:rsid w:val="00BE6CE8"/>
    <w:rsid w:val="00BE7677"/>
    <w:rsid w:val="00BE7881"/>
    <w:rsid w:val="00BF04D2"/>
    <w:rsid w:val="00BF0752"/>
    <w:rsid w:val="00BF111D"/>
    <w:rsid w:val="00BF29BE"/>
    <w:rsid w:val="00BF5C3A"/>
    <w:rsid w:val="00BF742E"/>
    <w:rsid w:val="00C03F47"/>
    <w:rsid w:val="00C04DB1"/>
    <w:rsid w:val="00C178F8"/>
    <w:rsid w:val="00C22AEE"/>
    <w:rsid w:val="00C22B2A"/>
    <w:rsid w:val="00C235B2"/>
    <w:rsid w:val="00C24219"/>
    <w:rsid w:val="00C25AC4"/>
    <w:rsid w:val="00C27593"/>
    <w:rsid w:val="00C31FE1"/>
    <w:rsid w:val="00C35569"/>
    <w:rsid w:val="00C40DCC"/>
    <w:rsid w:val="00C412F5"/>
    <w:rsid w:val="00C417F8"/>
    <w:rsid w:val="00C42089"/>
    <w:rsid w:val="00C42A0C"/>
    <w:rsid w:val="00C438BC"/>
    <w:rsid w:val="00C4504D"/>
    <w:rsid w:val="00C45134"/>
    <w:rsid w:val="00C5054B"/>
    <w:rsid w:val="00C50BE2"/>
    <w:rsid w:val="00C5111F"/>
    <w:rsid w:val="00C53BA0"/>
    <w:rsid w:val="00C54922"/>
    <w:rsid w:val="00C56E53"/>
    <w:rsid w:val="00C606F5"/>
    <w:rsid w:val="00C6428A"/>
    <w:rsid w:val="00C66573"/>
    <w:rsid w:val="00C66FCC"/>
    <w:rsid w:val="00C75833"/>
    <w:rsid w:val="00C767BE"/>
    <w:rsid w:val="00C77475"/>
    <w:rsid w:val="00C778DB"/>
    <w:rsid w:val="00C834BD"/>
    <w:rsid w:val="00C865E5"/>
    <w:rsid w:val="00C87389"/>
    <w:rsid w:val="00C90C1D"/>
    <w:rsid w:val="00C92559"/>
    <w:rsid w:val="00C92BDF"/>
    <w:rsid w:val="00C9467F"/>
    <w:rsid w:val="00C9571D"/>
    <w:rsid w:val="00C96EF0"/>
    <w:rsid w:val="00C97C3B"/>
    <w:rsid w:val="00CA044A"/>
    <w:rsid w:val="00CA4910"/>
    <w:rsid w:val="00CA4B35"/>
    <w:rsid w:val="00CA4EE5"/>
    <w:rsid w:val="00CA5A7E"/>
    <w:rsid w:val="00CB01B5"/>
    <w:rsid w:val="00CB2198"/>
    <w:rsid w:val="00CB4F3B"/>
    <w:rsid w:val="00CB530B"/>
    <w:rsid w:val="00CB7272"/>
    <w:rsid w:val="00CC6F3A"/>
    <w:rsid w:val="00CD0A34"/>
    <w:rsid w:val="00CD3753"/>
    <w:rsid w:val="00CD3BEB"/>
    <w:rsid w:val="00CD787D"/>
    <w:rsid w:val="00CD78B7"/>
    <w:rsid w:val="00CD7EB0"/>
    <w:rsid w:val="00CE0E5E"/>
    <w:rsid w:val="00CE17E3"/>
    <w:rsid w:val="00CE1ED6"/>
    <w:rsid w:val="00CE34A1"/>
    <w:rsid w:val="00CE5334"/>
    <w:rsid w:val="00CE6F6E"/>
    <w:rsid w:val="00CF1712"/>
    <w:rsid w:val="00CF3EF1"/>
    <w:rsid w:val="00CF645A"/>
    <w:rsid w:val="00CF64EC"/>
    <w:rsid w:val="00CF693C"/>
    <w:rsid w:val="00D023EF"/>
    <w:rsid w:val="00D02A09"/>
    <w:rsid w:val="00D03D44"/>
    <w:rsid w:val="00D043AC"/>
    <w:rsid w:val="00D06BAB"/>
    <w:rsid w:val="00D109EB"/>
    <w:rsid w:val="00D1657D"/>
    <w:rsid w:val="00D173ED"/>
    <w:rsid w:val="00D2213D"/>
    <w:rsid w:val="00D24CE3"/>
    <w:rsid w:val="00D252A1"/>
    <w:rsid w:val="00D266C8"/>
    <w:rsid w:val="00D275CA"/>
    <w:rsid w:val="00D3024A"/>
    <w:rsid w:val="00D30E0F"/>
    <w:rsid w:val="00D315F8"/>
    <w:rsid w:val="00D35230"/>
    <w:rsid w:val="00D3641C"/>
    <w:rsid w:val="00D408CA"/>
    <w:rsid w:val="00D46A08"/>
    <w:rsid w:val="00D53B9D"/>
    <w:rsid w:val="00D550F8"/>
    <w:rsid w:val="00D55B52"/>
    <w:rsid w:val="00D6043F"/>
    <w:rsid w:val="00D64BB8"/>
    <w:rsid w:val="00D64CE9"/>
    <w:rsid w:val="00D656D6"/>
    <w:rsid w:val="00D667F6"/>
    <w:rsid w:val="00D715D8"/>
    <w:rsid w:val="00D72AD1"/>
    <w:rsid w:val="00D740C0"/>
    <w:rsid w:val="00D748C9"/>
    <w:rsid w:val="00D76940"/>
    <w:rsid w:val="00D777DA"/>
    <w:rsid w:val="00D83843"/>
    <w:rsid w:val="00D83D4A"/>
    <w:rsid w:val="00D85AB0"/>
    <w:rsid w:val="00D93F7B"/>
    <w:rsid w:val="00D96759"/>
    <w:rsid w:val="00D97751"/>
    <w:rsid w:val="00DA4E29"/>
    <w:rsid w:val="00DA5479"/>
    <w:rsid w:val="00DA6432"/>
    <w:rsid w:val="00DA688D"/>
    <w:rsid w:val="00DB431E"/>
    <w:rsid w:val="00DB6260"/>
    <w:rsid w:val="00DC033D"/>
    <w:rsid w:val="00DC2F65"/>
    <w:rsid w:val="00DC5F98"/>
    <w:rsid w:val="00DC63E8"/>
    <w:rsid w:val="00DC76FE"/>
    <w:rsid w:val="00DC77BB"/>
    <w:rsid w:val="00DC7ACD"/>
    <w:rsid w:val="00DD0683"/>
    <w:rsid w:val="00DD3A91"/>
    <w:rsid w:val="00DD651A"/>
    <w:rsid w:val="00DE0232"/>
    <w:rsid w:val="00DE0FCA"/>
    <w:rsid w:val="00DE382E"/>
    <w:rsid w:val="00DE4B1A"/>
    <w:rsid w:val="00DE5AB0"/>
    <w:rsid w:val="00DF12B7"/>
    <w:rsid w:val="00DF344B"/>
    <w:rsid w:val="00DF641E"/>
    <w:rsid w:val="00DF6A32"/>
    <w:rsid w:val="00DF7D85"/>
    <w:rsid w:val="00E04933"/>
    <w:rsid w:val="00E07684"/>
    <w:rsid w:val="00E22A0C"/>
    <w:rsid w:val="00E23665"/>
    <w:rsid w:val="00E245EF"/>
    <w:rsid w:val="00E264D2"/>
    <w:rsid w:val="00E27595"/>
    <w:rsid w:val="00E30675"/>
    <w:rsid w:val="00E37AF3"/>
    <w:rsid w:val="00E409EC"/>
    <w:rsid w:val="00E416C0"/>
    <w:rsid w:val="00E41EED"/>
    <w:rsid w:val="00E45EE2"/>
    <w:rsid w:val="00E46257"/>
    <w:rsid w:val="00E52D42"/>
    <w:rsid w:val="00E5440D"/>
    <w:rsid w:val="00E568C3"/>
    <w:rsid w:val="00E57C9B"/>
    <w:rsid w:val="00E6290F"/>
    <w:rsid w:val="00E62D7A"/>
    <w:rsid w:val="00E64CBF"/>
    <w:rsid w:val="00E66864"/>
    <w:rsid w:val="00E677AE"/>
    <w:rsid w:val="00E73047"/>
    <w:rsid w:val="00E823E8"/>
    <w:rsid w:val="00E8300D"/>
    <w:rsid w:val="00E832FF"/>
    <w:rsid w:val="00E83F7B"/>
    <w:rsid w:val="00E8629E"/>
    <w:rsid w:val="00E9071F"/>
    <w:rsid w:val="00E9389C"/>
    <w:rsid w:val="00E94AA7"/>
    <w:rsid w:val="00E95C82"/>
    <w:rsid w:val="00E9772A"/>
    <w:rsid w:val="00EA05A9"/>
    <w:rsid w:val="00EA0BF9"/>
    <w:rsid w:val="00EA2FEA"/>
    <w:rsid w:val="00EA35B5"/>
    <w:rsid w:val="00EA4B39"/>
    <w:rsid w:val="00EA4EC8"/>
    <w:rsid w:val="00EA5A4B"/>
    <w:rsid w:val="00EB1EFC"/>
    <w:rsid w:val="00EB314D"/>
    <w:rsid w:val="00EB3D87"/>
    <w:rsid w:val="00EB4A8D"/>
    <w:rsid w:val="00EB57E9"/>
    <w:rsid w:val="00EC4A6A"/>
    <w:rsid w:val="00EC7D7F"/>
    <w:rsid w:val="00ED12A6"/>
    <w:rsid w:val="00ED13B8"/>
    <w:rsid w:val="00ED2BB1"/>
    <w:rsid w:val="00ED3117"/>
    <w:rsid w:val="00ED4724"/>
    <w:rsid w:val="00ED5390"/>
    <w:rsid w:val="00ED6128"/>
    <w:rsid w:val="00EE0B81"/>
    <w:rsid w:val="00EE1410"/>
    <w:rsid w:val="00EE3EF3"/>
    <w:rsid w:val="00EE5494"/>
    <w:rsid w:val="00EE6441"/>
    <w:rsid w:val="00EF2048"/>
    <w:rsid w:val="00EF2E3B"/>
    <w:rsid w:val="00EF70EA"/>
    <w:rsid w:val="00EF74FF"/>
    <w:rsid w:val="00EF757D"/>
    <w:rsid w:val="00F01829"/>
    <w:rsid w:val="00F053DD"/>
    <w:rsid w:val="00F1087A"/>
    <w:rsid w:val="00F10E75"/>
    <w:rsid w:val="00F11774"/>
    <w:rsid w:val="00F11F10"/>
    <w:rsid w:val="00F164F3"/>
    <w:rsid w:val="00F1665D"/>
    <w:rsid w:val="00F225DC"/>
    <w:rsid w:val="00F245BA"/>
    <w:rsid w:val="00F26D0A"/>
    <w:rsid w:val="00F2723F"/>
    <w:rsid w:val="00F27694"/>
    <w:rsid w:val="00F27DB7"/>
    <w:rsid w:val="00F35052"/>
    <w:rsid w:val="00F37EFD"/>
    <w:rsid w:val="00F40959"/>
    <w:rsid w:val="00F415AA"/>
    <w:rsid w:val="00F42154"/>
    <w:rsid w:val="00F427CA"/>
    <w:rsid w:val="00F429B7"/>
    <w:rsid w:val="00F4475F"/>
    <w:rsid w:val="00F46C93"/>
    <w:rsid w:val="00F547B7"/>
    <w:rsid w:val="00F56DD7"/>
    <w:rsid w:val="00F57F8E"/>
    <w:rsid w:val="00F60500"/>
    <w:rsid w:val="00F62150"/>
    <w:rsid w:val="00F656C1"/>
    <w:rsid w:val="00F66408"/>
    <w:rsid w:val="00F729F2"/>
    <w:rsid w:val="00F7341A"/>
    <w:rsid w:val="00F741B7"/>
    <w:rsid w:val="00F754E4"/>
    <w:rsid w:val="00F87A0B"/>
    <w:rsid w:val="00F919FD"/>
    <w:rsid w:val="00F92BE6"/>
    <w:rsid w:val="00F948D5"/>
    <w:rsid w:val="00F96BF9"/>
    <w:rsid w:val="00FA1EDF"/>
    <w:rsid w:val="00FA4128"/>
    <w:rsid w:val="00FA43B6"/>
    <w:rsid w:val="00FA4EFF"/>
    <w:rsid w:val="00FA5273"/>
    <w:rsid w:val="00FB061E"/>
    <w:rsid w:val="00FB382E"/>
    <w:rsid w:val="00FB43C6"/>
    <w:rsid w:val="00FB4778"/>
    <w:rsid w:val="00FB548C"/>
    <w:rsid w:val="00FB556E"/>
    <w:rsid w:val="00FB58A1"/>
    <w:rsid w:val="00FC368A"/>
    <w:rsid w:val="00FC4744"/>
    <w:rsid w:val="00FC5FDC"/>
    <w:rsid w:val="00FC7F77"/>
    <w:rsid w:val="00FD0B39"/>
    <w:rsid w:val="00FD1BC6"/>
    <w:rsid w:val="00FD5C2D"/>
    <w:rsid w:val="00FD746D"/>
    <w:rsid w:val="00FD7591"/>
    <w:rsid w:val="00FE00DE"/>
    <w:rsid w:val="00FE0877"/>
    <w:rsid w:val="00FE27E2"/>
    <w:rsid w:val="00FE333F"/>
    <w:rsid w:val="00FE79E5"/>
    <w:rsid w:val="00FE79EB"/>
    <w:rsid w:val="00FF1DCA"/>
    <w:rsid w:val="00FF5046"/>
    <w:rsid w:val="00FF64B1"/>
    <w:rsid w:val="00FF66B2"/>
    <w:rsid w:val="01065CED"/>
    <w:rsid w:val="01102BF2"/>
    <w:rsid w:val="011D43B4"/>
    <w:rsid w:val="01240121"/>
    <w:rsid w:val="01317F46"/>
    <w:rsid w:val="013A5B5E"/>
    <w:rsid w:val="014156A9"/>
    <w:rsid w:val="01476250"/>
    <w:rsid w:val="01534B29"/>
    <w:rsid w:val="01566AB7"/>
    <w:rsid w:val="016921D7"/>
    <w:rsid w:val="017117BE"/>
    <w:rsid w:val="017C77ED"/>
    <w:rsid w:val="017E345B"/>
    <w:rsid w:val="018415EB"/>
    <w:rsid w:val="01842569"/>
    <w:rsid w:val="0196507D"/>
    <w:rsid w:val="0199254D"/>
    <w:rsid w:val="01992C81"/>
    <w:rsid w:val="019B1A98"/>
    <w:rsid w:val="01B60789"/>
    <w:rsid w:val="01BF3D9E"/>
    <w:rsid w:val="01C503F0"/>
    <w:rsid w:val="01C93EB0"/>
    <w:rsid w:val="01D17AE4"/>
    <w:rsid w:val="01D34868"/>
    <w:rsid w:val="01D93DE5"/>
    <w:rsid w:val="01E53FA4"/>
    <w:rsid w:val="01E853CD"/>
    <w:rsid w:val="020B36F8"/>
    <w:rsid w:val="02105DCA"/>
    <w:rsid w:val="0211373E"/>
    <w:rsid w:val="021D1805"/>
    <w:rsid w:val="022442CE"/>
    <w:rsid w:val="022452C6"/>
    <w:rsid w:val="02246C4A"/>
    <w:rsid w:val="02343881"/>
    <w:rsid w:val="023E72D1"/>
    <w:rsid w:val="024479F5"/>
    <w:rsid w:val="024A7B32"/>
    <w:rsid w:val="02515D37"/>
    <w:rsid w:val="025A233F"/>
    <w:rsid w:val="026818A2"/>
    <w:rsid w:val="02697152"/>
    <w:rsid w:val="02743017"/>
    <w:rsid w:val="02815E46"/>
    <w:rsid w:val="029014A6"/>
    <w:rsid w:val="02937FDF"/>
    <w:rsid w:val="029B3743"/>
    <w:rsid w:val="02A97730"/>
    <w:rsid w:val="02AF191B"/>
    <w:rsid w:val="02B10CFA"/>
    <w:rsid w:val="02B64FCA"/>
    <w:rsid w:val="02C23B93"/>
    <w:rsid w:val="02C954DA"/>
    <w:rsid w:val="02D44546"/>
    <w:rsid w:val="02DE773E"/>
    <w:rsid w:val="02DF68BC"/>
    <w:rsid w:val="02E62C67"/>
    <w:rsid w:val="02E75F3F"/>
    <w:rsid w:val="03380DF2"/>
    <w:rsid w:val="03681043"/>
    <w:rsid w:val="036B24B9"/>
    <w:rsid w:val="03740009"/>
    <w:rsid w:val="038D05AF"/>
    <w:rsid w:val="039975F3"/>
    <w:rsid w:val="039C54FE"/>
    <w:rsid w:val="03A7592B"/>
    <w:rsid w:val="03BA4255"/>
    <w:rsid w:val="03BF52BF"/>
    <w:rsid w:val="03C878FE"/>
    <w:rsid w:val="03C92507"/>
    <w:rsid w:val="03C92B54"/>
    <w:rsid w:val="03CC6FCF"/>
    <w:rsid w:val="03E12212"/>
    <w:rsid w:val="03E212F6"/>
    <w:rsid w:val="03E76673"/>
    <w:rsid w:val="03EA1F2E"/>
    <w:rsid w:val="03EC429F"/>
    <w:rsid w:val="03ED04BC"/>
    <w:rsid w:val="03F8642F"/>
    <w:rsid w:val="03FA6F80"/>
    <w:rsid w:val="040F0E31"/>
    <w:rsid w:val="041C1769"/>
    <w:rsid w:val="04214A49"/>
    <w:rsid w:val="0426277B"/>
    <w:rsid w:val="043C769D"/>
    <w:rsid w:val="043E5EE9"/>
    <w:rsid w:val="046279EC"/>
    <w:rsid w:val="04713C9A"/>
    <w:rsid w:val="04717514"/>
    <w:rsid w:val="04727BF7"/>
    <w:rsid w:val="04730927"/>
    <w:rsid w:val="0477232C"/>
    <w:rsid w:val="048322C7"/>
    <w:rsid w:val="048C2070"/>
    <w:rsid w:val="049230F3"/>
    <w:rsid w:val="04930CBF"/>
    <w:rsid w:val="04B80A16"/>
    <w:rsid w:val="04BD3A40"/>
    <w:rsid w:val="04BE0B2C"/>
    <w:rsid w:val="04C97C00"/>
    <w:rsid w:val="04CD6687"/>
    <w:rsid w:val="04CE383C"/>
    <w:rsid w:val="04CE4D06"/>
    <w:rsid w:val="04E47C33"/>
    <w:rsid w:val="04E67D72"/>
    <w:rsid w:val="04E83B5D"/>
    <w:rsid w:val="04EB2E98"/>
    <w:rsid w:val="04F672CE"/>
    <w:rsid w:val="04F76F70"/>
    <w:rsid w:val="04F94D4D"/>
    <w:rsid w:val="050A22F5"/>
    <w:rsid w:val="05126E4F"/>
    <w:rsid w:val="05127C71"/>
    <w:rsid w:val="05207B9A"/>
    <w:rsid w:val="052C443A"/>
    <w:rsid w:val="053040E6"/>
    <w:rsid w:val="053B2F8B"/>
    <w:rsid w:val="05474699"/>
    <w:rsid w:val="054B0D10"/>
    <w:rsid w:val="055048A1"/>
    <w:rsid w:val="05515073"/>
    <w:rsid w:val="0553568E"/>
    <w:rsid w:val="055A52B3"/>
    <w:rsid w:val="055D1C35"/>
    <w:rsid w:val="055F61C0"/>
    <w:rsid w:val="057F0712"/>
    <w:rsid w:val="0587382E"/>
    <w:rsid w:val="05960466"/>
    <w:rsid w:val="05994F8E"/>
    <w:rsid w:val="05A80EF3"/>
    <w:rsid w:val="05B13F18"/>
    <w:rsid w:val="05B315E0"/>
    <w:rsid w:val="05B62C58"/>
    <w:rsid w:val="05BC72EA"/>
    <w:rsid w:val="05C8387F"/>
    <w:rsid w:val="05D001B9"/>
    <w:rsid w:val="05E2113C"/>
    <w:rsid w:val="05E46762"/>
    <w:rsid w:val="05EA4D00"/>
    <w:rsid w:val="05EA69AB"/>
    <w:rsid w:val="05F83AC2"/>
    <w:rsid w:val="05FD310D"/>
    <w:rsid w:val="06000E3D"/>
    <w:rsid w:val="060579B9"/>
    <w:rsid w:val="060826FE"/>
    <w:rsid w:val="060C1D5F"/>
    <w:rsid w:val="060E7C87"/>
    <w:rsid w:val="06133F0F"/>
    <w:rsid w:val="0615219F"/>
    <w:rsid w:val="061A003C"/>
    <w:rsid w:val="062203EF"/>
    <w:rsid w:val="062B0334"/>
    <w:rsid w:val="06393974"/>
    <w:rsid w:val="063C50C5"/>
    <w:rsid w:val="06416982"/>
    <w:rsid w:val="06435BC5"/>
    <w:rsid w:val="06457061"/>
    <w:rsid w:val="064832F8"/>
    <w:rsid w:val="064C187B"/>
    <w:rsid w:val="06682C83"/>
    <w:rsid w:val="067061AC"/>
    <w:rsid w:val="06792C62"/>
    <w:rsid w:val="067B115E"/>
    <w:rsid w:val="068A31F1"/>
    <w:rsid w:val="06977E71"/>
    <w:rsid w:val="069801E1"/>
    <w:rsid w:val="06996A0D"/>
    <w:rsid w:val="06AF486C"/>
    <w:rsid w:val="06B835E8"/>
    <w:rsid w:val="06C364AF"/>
    <w:rsid w:val="06CA5ECE"/>
    <w:rsid w:val="06D15B03"/>
    <w:rsid w:val="06D41EBA"/>
    <w:rsid w:val="06D52B30"/>
    <w:rsid w:val="06E65BCB"/>
    <w:rsid w:val="06F07C2B"/>
    <w:rsid w:val="06F76DA2"/>
    <w:rsid w:val="06F833F0"/>
    <w:rsid w:val="06FF38B8"/>
    <w:rsid w:val="07037B24"/>
    <w:rsid w:val="07180F6F"/>
    <w:rsid w:val="07357F52"/>
    <w:rsid w:val="0738398A"/>
    <w:rsid w:val="073A10EA"/>
    <w:rsid w:val="07436BEE"/>
    <w:rsid w:val="074D7B73"/>
    <w:rsid w:val="075423C5"/>
    <w:rsid w:val="0762707C"/>
    <w:rsid w:val="076E739E"/>
    <w:rsid w:val="07712296"/>
    <w:rsid w:val="07744332"/>
    <w:rsid w:val="07844D76"/>
    <w:rsid w:val="078A1CB6"/>
    <w:rsid w:val="07956A83"/>
    <w:rsid w:val="07981194"/>
    <w:rsid w:val="079814BB"/>
    <w:rsid w:val="07B23893"/>
    <w:rsid w:val="07B940F4"/>
    <w:rsid w:val="07BD3073"/>
    <w:rsid w:val="07C9280A"/>
    <w:rsid w:val="07CA5430"/>
    <w:rsid w:val="07D50051"/>
    <w:rsid w:val="07EC4E3B"/>
    <w:rsid w:val="07F010F4"/>
    <w:rsid w:val="07F30454"/>
    <w:rsid w:val="08000A8A"/>
    <w:rsid w:val="0801703A"/>
    <w:rsid w:val="08022F2E"/>
    <w:rsid w:val="080277E6"/>
    <w:rsid w:val="0809149B"/>
    <w:rsid w:val="0818106D"/>
    <w:rsid w:val="081B35B7"/>
    <w:rsid w:val="081F2350"/>
    <w:rsid w:val="08313AD6"/>
    <w:rsid w:val="08394550"/>
    <w:rsid w:val="083B51FE"/>
    <w:rsid w:val="08490D69"/>
    <w:rsid w:val="084D4E0D"/>
    <w:rsid w:val="08634556"/>
    <w:rsid w:val="087802C0"/>
    <w:rsid w:val="08834E80"/>
    <w:rsid w:val="088538A2"/>
    <w:rsid w:val="088870F2"/>
    <w:rsid w:val="088937E4"/>
    <w:rsid w:val="08962BCC"/>
    <w:rsid w:val="08984FCE"/>
    <w:rsid w:val="089E452D"/>
    <w:rsid w:val="08B17ED7"/>
    <w:rsid w:val="08B47127"/>
    <w:rsid w:val="08C54782"/>
    <w:rsid w:val="08CA056F"/>
    <w:rsid w:val="08D50631"/>
    <w:rsid w:val="08D95AD5"/>
    <w:rsid w:val="08EA0789"/>
    <w:rsid w:val="08EF2258"/>
    <w:rsid w:val="09012941"/>
    <w:rsid w:val="09130C39"/>
    <w:rsid w:val="0913363A"/>
    <w:rsid w:val="09190C3E"/>
    <w:rsid w:val="092217C2"/>
    <w:rsid w:val="0929059C"/>
    <w:rsid w:val="09295D54"/>
    <w:rsid w:val="09330FD1"/>
    <w:rsid w:val="09357DB1"/>
    <w:rsid w:val="093F7F0D"/>
    <w:rsid w:val="09452439"/>
    <w:rsid w:val="0946128D"/>
    <w:rsid w:val="09730FB4"/>
    <w:rsid w:val="09752816"/>
    <w:rsid w:val="09763C6C"/>
    <w:rsid w:val="097D4851"/>
    <w:rsid w:val="09931235"/>
    <w:rsid w:val="09933EF5"/>
    <w:rsid w:val="099A4AA0"/>
    <w:rsid w:val="099D0D8A"/>
    <w:rsid w:val="09A25FA4"/>
    <w:rsid w:val="09A73B2F"/>
    <w:rsid w:val="09AB4010"/>
    <w:rsid w:val="09AE424C"/>
    <w:rsid w:val="09B15771"/>
    <w:rsid w:val="09B24A32"/>
    <w:rsid w:val="09B36FA4"/>
    <w:rsid w:val="09B5791F"/>
    <w:rsid w:val="09B67A5E"/>
    <w:rsid w:val="09BE0023"/>
    <w:rsid w:val="09C32054"/>
    <w:rsid w:val="09D90547"/>
    <w:rsid w:val="09DC7C8B"/>
    <w:rsid w:val="09F57579"/>
    <w:rsid w:val="09FE34AF"/>
    <w:rsid w:val="0A0271A8"/>
    <w:rsid w:val="0A087889"/>
    <w:rsid w:val="0A0C1981"/>
    <w:rsid w:val="0A1E1B73"/>
    <w:rsid w:val="0A2639C2"/>
    <w:rsid w:val="0A27426B"/>
    <w:rsid w:val="0A337407"/>
    <w:rsid w:val="0A357E47"/>
    <w:rsid w:val="0A3F3AD3"/>
    <w:rsid w:val="0A401CDF"/>
    <w:rsid w:val="0A45398B"/>
    <w:rsid w:val="0A476C3A"/>
    <w:rsid w:val="0A5359EE"/>
    <w:rsid w:val="0A683514"/>
    <w:rsid w:val="0A6E3D4E"/>
    <w:rsid w:val="0A75315E"/>
    <w:rsid w:val="0A8178AD"/>
    <w:rsid w:val="0A8D107D"/>
    <w:rsid w:val="0A94487D"/>
    <w:rsid w:val="0A9D4442"/>
    <w:rsid w:val="0A9F1489"/>
    <w:rsid w:val="0AA22E75"/>
    <w:rsid w:val="0AAA4AEB"/>
    <w:rsid w:val="0AB02679"/>
    <w:rsid w:val="0ABC59FA"/>
    <w:rsid w:val="0AC1585C"/>
    <w:rsid w:val="0AC1652E"/>
    <w:rsid w:val="0ACC5BED"/>
    <w:rsid w:val="0AD865ED"/>
    <w:rsid w:val="0AEA3F1C"/>
    <w:rsid w:val="0AEE63A6"/>
    <w:rsid w:val="0B014B1D"/>
    <w:rsid w:val="0B075BB9"/>
    <w:rsid w:val="0B0C5744"/>
    <w:rsid w:val="0B2A7567"/>
    <w:rsid w:val="0B31627B"/>
    <w:rsid w:val="0B3C542A"/>
    <w:rsid w:val="0B3F477D"/>
    <w:rsid w:val="0B477091"/>
    <w:rsid w:val="0B4A0373"/>
    <w:rsid w:val="0B580A49"/>
    <w:rsid w:val="0B586040"/>
    <w:rsid w:val="0B5B6C07"/>
    <w:rsid w:val="0B5E3DB2"/>
    <w:rsid w:val="0B5F5B27"/>
    <w:rsid w:val="0B7E3E4C"/>
    <w:rsid w:val="0B873749"/>
    <w:rsid w:val="0B8919FE"/>
    <w:rsid w:val="0BB84C84"/>
    <w:rsid w:val="0BBF61DD"/>
    <w:rsid w:val="0BC132D0"/>
    <w:rsid w:val="0BCE54D4"/>
    <w:rsid w:val="0BD42D94"/>
    <w:rsid w:val="0BD64323"/>
    <w:rsid w:val="0BD64345"/>
    <w:rsid w:val="0BD6525B"/>
    <w:rsid w:val="0BE520C3"/>
    <w:rsid w:val="0C0821AD"/>
    <w:rsid w:val="0C11026F"/>
    <w:rsid w:val="0C2E6088"/>
    <w:rsid w:val="0C3969AD"/>
    <w:rsid w:val="0C3D13C8"/>
    <w:rsid w:val="0C42591A"/>
    <w:rsid w:val="0C557BB4"/>
    <w:rsid w:val="0C6039AF"/>
    <w:rsid w:val="0C6150AC"/>
    <w:rsid w:val="0C71014F"/>
    <w:rsid w:val="0C7168BB"/>
    <w:rsid w:val="0C772949"/>
    <w:rsid w:val="0C8C2E63"/>
    <w:rsid w:val="0CA44742"/>
    <w:rsid w:val="0CB37B55"/>
    <w:rsid w:val="0CBF7E6B"/>
    <w:rsid w:val="0CC5465B"/>
    <w:rsid w:val="0CCB490A"/>
    <w:rsid w:val="0CD03366"/>
    <w:rsid w:val="0CD036D7"/>
    <w:rsid w:val="0CDF600E"/>
    <w:rsid w:val="0CE53C17"/>
    <w:rsid w:val="0CEA1A2E"/>
    <w:rsid w:val="0CF03AE7"/>
    <w:rsid w:val="0CF34B94"/>
    <w:rsid w:val="0CF461F6"/>
    <w:rsid w:val="0CF46765"/>
    <w:rsid w:val="0D027AE8"/>
    <w:rsid w:val="0D121E62"/>
    <w:rsid w:val="0D1E1AE5"/>
    <w:rsid w:val="0D1E46EA"/>
    <w:rsid w:val="0D237F5B"/>
    <w:rsid w:val="0D27402D"/>
    <w:rsid w:val="0D2F1AE4"/>
    <w:rsid w:val="0D3141FD"/>
    <w:rsid w:val="0D3D4E9E"/>
    <w:rsid w:val="0D42443E"/>
    <w:rsid w:val="0D4502D2"/>
    <w:rsid w:val="0D4F0BC2"/>
    <w:rsid w:val="0D5C1E27"/>
    <w:rsid w:val="0D6B560B"/>
    <w:rsid w:val="0D6C3E57"/>
    <w:rsid w:val="0D7361CE"/>
    <w:rsid w:val="0D7D7CE5"/>
    <w:rsid w:val="0D860259"/>
    <w:rsid w:val="0D902BC7"/>
    <w:rsid w:val="0D98582D"/>
    <w:rsid w:val="0D9C1C86"/>
    <w:rsid w:val="0DA127FC"/>
    <w:rsid w:val="0DA633EB"/>
    <w:rsid w:val="0DAB68CE"/>
    <w:rsid w:val="0DAC2339"/>
    <w:rsid w:val="0DC527A8"/>
    <w:rsid w:val="0DC858BF"/>
    <w:rsid w:val="0DDA01E2"/>
    <w:rsid w:val="0DDC432E"/>
    <w:rsid w:val="0DDE418A"/>
    <w:rsid w:val="0DE026A5"/>
    <w:rsid w:val="0DE466ED"/>
    <w:rsid w:val="0DF1168F"/>
    <w:rsid w:val="0E0310F2"/>
    <w:rsid w:val="0E053A23"/>
    <w:rsid w:val="0E070D86"/>
    <w:rsid w:val="0E10432D"/>
    <w:rsid w:val="0E116216"/>
    <w:rsid w:val="0E2E6A90"/>
    <w:rsid w:val="0E3A5ED0"/>
    <w:rsid w:val="0E3C2816"/>
    <w:rsid w:val="0E494C1D"/>
    <w:rsid w:val="0E4D13EA"/>
    <w:rsid w:val="0E5D71DB"/>
    <w:rsid w:val="0E6B2473"/>
    <w:rsid w:val="0E802FD9"/>
    <w:rsid w:val="0E892616"/>
    <w:rsid w:val="0E8A12FA"/>
    <w:rsid w:val="0EA4241A"/>
    <w:rsid w:val="0EA74053"/>
    <w:rsid w:val="0EAB2D47"/>
    <w:rsid w:val="0EBC5871"/>
    <w:rsid w:val="0EC32A35"/>
    <w:rsid w:val="0ED21F5A"/>
    <w:rsid w:val="0ED86EEA"/>
    <w:rsid w:val="0ED9474B"/>
    <w:rsid w:val="0EE5422C"/>
    <w:rsid w:val="0EEA67F7"/>
    <w:rsid w:val="0EF076E9"/>
    <w:rsid w:val="0EFD159E"/>
    <w:rsid w:val="0F036C6E"/>
    <w:rsid w:val="0F131BC7"/>
    <w:rsid w:val="0F2D5160"/>
    <w:rsid w:val="0F2E7BC2"/>
    <w:rsid w:val="0F3C38BE"/>
    <w:rsid w:val="0F3E50E1"/>
    <w:rsid w:val="0F463E87"/>
    <w:rsid w:val="0F471970"/>
    <w:rsid w:val="0F4C7E52"/>
    <w:rsid w:val="0F536B0B"/>
    <w:rsid w:val="0F5867C3"/>
    <w:rsid w:val="0F64362C"/>
    <w:rsid w:val="0F69472B"/>
    <w:rsid w:val="0F724D59"/>
    <w:rsid w:val="0F74282B"/>
    <w:rsid w:val="0F744794"/>
    <w:rsid w:val="0F801BA1"/>
    <w:rsid w:val="0F833597"/>
    <w:rsid w:val="0F8E162F"/>
    <w:rsid w:val="0F974F30"/>
    <w:rsid w:val="0FA61EFC"/>
    <w:rsid w:val="0FAE1E67"/>
    <w:rsid w:val="0FAF7CB2"/>
    <w:rsid w:val="0FBD5754"/>
    <w:rsid w:val="0FC24598"/>
    <w:rsid w:val="0FC47ED0"/>
    <w:rsid w:val="0FC70FDE"/>
    <w:rsid w:val="0FCD272B"/>
    <w:rsid w:val="0FD47995"/>
    <w:rsid w:val="0FD810AF"/>
    <w:rsid w:val="0FD97610"/>
    <w:rsid w:val="0FDD44B4"/>
    <w:rsid w:val="0FED3B24"/>
    <w:rsid w:val="10127544"/>
    <w:rsid w:val="101565E1"/>
    <w:rsid w:val="1017436C"/>
    <w:rsid w:val="101A0F7B"/>
    <w:rsid w:val="10260573"/>
    <w:rsid w:val="10407157"/>
    <w:rsid w:val="104418C5"/>
    <w:rsid w:val="104F26DA"/>
    <w:rsid w:val="10560E8B"/>
    <w:rsid w:val="105664BA"/>
    <w:rsid w:val="10624428"/>
    <w:rsid w:val="107576DC"/>
    <w:rsid w:val="107F0A2D"/>
    <w:rsid w:val="108575B6"/>
    <w:rsid w:val="10884CE7"/>
    <w:rsid w:val="108E2628"/>
    <w:rsid w:val="109022F5"/>
    <w:rsid w:val="10B05B34"/>
    <w:rsid w:val="10E84BB2"/>
    <w:rsid w:val="10EB31C2"/>
    <w:rsid w:val="10F350B4"/>
    <w:rsid w:val="10F92445"/>
    <w:rsid w:val="10FF14B8"/>
    <w:rsid w:val="112F647C"/>
    <w:rsid w:val="113225FE"/>
    <w:rsid w:val="113A0E25"/>
    <w:rsid w:val="113A37F0"/>
    <w:rsid w:val="113B6DA3"/>
    <w:rsid w:val="114536F0"/>
    <w:rsid w:val="11655E6D"/>
    <w:rsid w:val="117B5FB3"/>
    <w:rsid w:val="117E756A"/>
    <w:rsid w:val="11821539"/>
    <w:rsid w:val="118E1204"/>
    <w:rsid w:val="118E662F"/>
    <w:rsid w:val="11985CF1"/>
    <w:rsid w:val="119A1B89"/>
    <w:rsid w:val="119E2626"/>
    <w:rsid w:val="11AE34D2"/>
    <w:rsid w:val="11B1635E"/>
    <w:rsid w:val="11BC49DF"/>
    <w:rsid w:val="11C143AF"/>
    <w:rsid w:val="11C434C7"/>
    <w:rsid w:val="11C62ECA"/>
    <w:rsid w:val="11C92FA9"/>
    <w:rsid w:val="11CC6647"/>
    <w:rsid w:val="11E47A38"/>
    <w:rsid w:val="11EB59DC"/>
    <w:rsid w:val="11FA05B6"/>
    <w:rsid w:val="11FC1B8C"/>
    <w:rsid w:val="11FF217D"/>
    <w:rsid w:val="12052D32"/>
    <w:rsid w:val="12085121"/>
    <w:rsid w:val="12145523"/>
    <w:rsid w:val="12175490"/>
    <w:rsid w:val="121C31F4"/>
    <w:rsid w:val="121D67A0"/>
    <w:rsid w:val="121F13D2"/>
    <w:rsid w:val="1224211A"/>
    <w:rsid w:val="122A54E7"/>
    <w:rsid w:val="12331904"/>
    <w:rsid w:val="12352519"/>
    <w:rsid w:val="123753E6"/>
    <w:rsid w:val="1246026C"/>
    <w:rsid w:val="124F2700"/>
    <w:rsid w:val="1252653B"/>
    <w:rsid w:val="125D6CD5"/>
    <w:rsid w:val="126876C8"/>
    <w:rsid w:val="126E4BA6"/>
    <w:rsid w:val="12704668"/>
    <w:rsid w:val="127B6C0E"/>
    <w:rsid w:val="12925ABB"/>
    <w:rsid w:val="12B20064"/>
    <w:rsid w:val="12B52DA1"/>
    <w:rsid w:val="12B86BF7"/>
    <w:rsid w:val="12BA2C99"/>
    <w:rsid w:val="12BC4DF8"/>
    <w:rsid w:val="12C222CF"/>
    <w:rsid w:val="12CA21A4"/>
    <w:rsid w:val="12D95E26"/>
    <w:rsid w:val="12EF737A"/>
    <w:rsid w:val="12F915C5"/>
    <w:rsid w:val="1300233C"/>
    <w:rsid w:val="13007011"/>
    <w:rsid w:val="13015B45"/>
    <w:rsid w:val="13161251"/>
    <w:rsid w:val="131777C0"/>
    <w:rsid w:val="131C5EEE"/>
    <w:rsid w:val="13233D0E"/>
    <w:rsid w:val="13294BAC"/>
    <w:rsid w:val="132A734C"/>
    <w:rsid w:val="1336722A"/>
    <w:rsid w:val="13521573"/>
    <w:rsid w:val="1367063C"/>
    <w:rsid w:val="13675E04"/>
    <w:rsid w:val="136C43DB"/>
    <w:rsid w:val="137F6B1E"/>
    <w:rsid w:val="13815177"/>
    <w:rsid w:val="13871717"/>
    <w:rsid w:val="1387402E"/>
    <w:rsid w:val="139076B5"/>
    <w:rsid w:val="1399022A"/>
    <w:rsid w:val="139D4B32"/>
    <w:rsid w:val="139D64C9"/>
    <w:rsid w:val="13A816BA"/>
    <w:rsid w:val="13B21C1F"/>
    <w:rsid w:val="13D66D5F"/>
    <w:rsid w:val="13E27E6F"/>
    <w:rsid w:val="13E92C65"/>
    <w:rsid w:val="13F042B1"/>
    <w:rsid w:val="13F54BFA"/>
    <w:rsid w:val="13FF30FD"/>
    <w:rsid w:val="14070201"/>
    <w:rsid w:val="140C42F4"/>
    <w:rsid w:val="141947BC"/>
    <w:rsid w:val="141D6EBA"/>
    <w:rsid w:val="141E0C28"/>
    <w:rsid w:val="141F0849"/>
    <w:rsid w:val="14241CCC"/>
    <w:rsid w:val="14271FDF"/>
    <w:rsid w:val="142F029A"/>
    <w:rsid w:val="1442742A"/>
    <w:rsid w:val="1443272B"/>
    <w:rsid w:val="144E0D2E"/>
    <w:rsid w:val="145E1395"/>
    <w:rsid w:val="1461646D"/>
    <w:rsid w:val="146262AA"/>
    <w:rsid w:val="14652A77"/>
    <w:rsid w:val="1468640E"/>
    <w:rsid w:val="146F7161"/>
    <w:rsid w:val="14790128"/>
    <w:rsid w:val="147A1EE8"/>
    <w:rsid w:val="14881002"/>
    <w:rsid w:val="149A50A0"/>
    <w:rsid w:val="149C3438"/>
    <w:rsid w:val="149F171D"/>
    <w:rsid w:val="14A7643D"/>
    <w:rsid w:val="14A85301"/>
    <w:rsid w:val="14CF6858"/>
    <w:rsid w:val="14E10483"/>
    <w:rsid w:val="14E55B0B"/>
    <w:rsid w:val="14E57930"/>
    <w:rsid w:val="150011E1"/>
    <w:rsid w:val="150E4FAB"/>
    <w:rsid w:val="15125E7A"/>
    <w:rsid w:val="151B51C7"/>
    <w:rsid w:val="151F2BC6"/>
    <w:rsid w:val="15263FF9"/>
    <w:rsid w:val="152B0FD4"/>
    <w:rsid w:val="152F0DB3"/>
    <w:rsid w:val="153250B2"/>
    <w:rsid w:val="15363DC1"/>
    <w:rsid w:val="15383EFD"/>
    <w:rsid w:val="153B4E38"/>
    <w:rsid w:val="153F3376"/>
    <w:rsid w:val="15865525"/>
    <w:rsid w:val="15906FBF"/>
    <w:rsid w:val="159C41F0"/>
    <w:rsid w:val="15A363E1"/>
    <w:rsid w:val="15A913ED"/>
    <w:rsid w:val="15B824A3"/>
    <w:rsid w:val="15B9192F"/>
    <w:rsid w:val="15C2239F"/>
    <w:rsid w:val="15D967E9"/>
    <w:rsid w:val="15DD0D54"/>
    <w:rsid w:val="15E02A80"/>
    <w:rsid w:val="15E8450F"/>
    <w:rsid w:val="15F17A1F"/>
    <w:rsid w:val="15F4106D"/>
    <w:rsid w:val="15F730B8"/>
    <w:rsid w:val="16035BE2"/>
    <w:rsid w:val="160646EA"/>
    <w:rsid w:val="1617711F"/>
    <w:rsid w:val="1621648C"/>
    <w:rsid w:val="16286797"/>
    <w:rsid w:val="162A3830"/>
    <w:rsid w:val="164416C0"/>
    <w:rsid w:val="16493E67"/>
    <w:rsid w:val="16530277"/>
    <w:rsid w:val="165350F2"/>
    <w:rsid w:val="165A2A74"/>
    <w:rsid w:val="167729A9"/>
    <w:rsid w:val="16884DB2"/>
    <w:rsid w:val="16AC162C"/>
    <w:rsid w:val="16BF27BD"/>
    <w:rsid w:val="16D07D6A"/>
    <w:rsid w:val="16D74E38"/>
    <w:rsid w:val="16ED46D6"/>
    <w:rsid w:val="16F07C34"/>
    <w:rsid w:val="16F373EB"/>
    <w:rsid w:val="16F62420"/>
    <w:rsid w:val="16FD00DF"/>
    <w:rsid w:val="17061398"/>
    <w:rsid w:val="1706316F"/>
    <w:rsid w:val="17147F69"/>
    <w:rsid w:val="17170205"/>
    <w:rsid w:val="17185EE6"/>
    <w:rsid w:val="17284E52"/>
    <w:rsid w:val="172B493A"/>
    <w:rsid w:val="172F190E"/>
    <w:rsid w:val="17373A59"/>
    <w:rsid w:val="17383D11"/>
    <w:rsid w:val="17432082"/>
    <w:rsid w:val="174A37BA"/>
    <w:rsid w:val="174C5C04"/>
    <w:rsid w:val="175E387C"/>
    <w:rsid w:val="175F2858"/>
    <w:rsid w:val="176A4115"/>
    <w:rsid w:val="176C2908"/>
    <w:rsid w:val="1773567A"/>
    <w:rsid w:val="1780028B"/>
    <w:rsid w:val="17891CAC"/>
    <w:rsid w:val="17933025"/>
    <w:rsid w:val="17A27838"/>
    <w:rsid w:val="17B410FF"/>
    <w:rsid w:val="17C40966"/>
    <w:rsid w:val="17C56203"/>
    <w:rsid w:val="17CB2CD1"/>
    <w:rsid w:val="17CE659C"/>
    <w:rsid w:val="17CE7998"/>
    <w:rsid w:val="17F92CEB"/>
    <w:rsid w:val="18011890"/>
    <w:rsid w:val="180E2C83"/>
    <w:rsid w:val="18271C69"/>
    <w:rsid w:val="182846BD"/>
    <w:rsid w:val="183C1146"/>
    <w:rsid w:val="18414717"/>
    <w:rsid w:val="18440673"/>
    <w:rsid w:val="184E428A"/>
    <w:rsid w:val="18617541"/>
    <w:rsid w:val="18630E5B"/>
    <w:rsid w:val="18780FD4"/>
    <w:rsid w:val="188D545C"/>
    <w:rsid w:val="189A4ABC"/>
    <w:rsid w:val="189F1F27"/>
    <w:rsid w:val="18A76FFA"/>
    <w:rsid w:val="18AF1E8B"/>
    <w:rsid w:val="18C57691"/>
    <w:rsid w:val="18C82A26"/>
    <w:rsid w:val="18CB00C2"/>
    <w:rsid w:val="18DC11B5"/>
    <w:rsid w:val="18DD352F"/>
    <w:rsid w:val="18E2006A"/>
    <w:rsid w:val="18F404E0"/>
    <w:rsid w:val="18FA5083"/>
    <w:rsid w:val="19066069"/>
    <w:rsid w:val="191902B0"/>
    <w:rsid w:val="192200E9"/>
    <w:rsid w:val="192D2498"/>
    <w:rsid w:val="192F23B5"/>
    <w:rsid w:val="193410D0"/>
    <w:rsid w:val="194937BA"/>
    <w:rsid w:val="194E0E5D"/>
    <w:rsid w:val="19667BBA"/>
    <w:rsid w:val="19670D78"/>
    <w:rsid w:val="19675624"/>
    <w:rsid w:val="196855A5"/>
    <w:rsid w:val="196D61E8"/>
    <w:rsid w:val="1979370A"/>
    <w:rsid w:val="197C683E"/>
    <w:rsid w:val="19886CEA"/>
    <w:rsid w:val="198B74CC"/>
    <w:rsid w:val="198D0AA3"/>
    <w:rsid w:val="198E731F"/>
    <w:rsid w:val="19921069"/>
    <w:rsid w:val="19B754F2"/>
    <w:rsid w:val="19B848C3"/>
    <w:rsid w:val="19BE7F6D"/>
    <w:rsid w:val="19D803A8"/>
    <w:rsid w:val="19DA2EDE"/>
    <w:rsid w:val="19DB3348"/>
    <w:rsid w:val="19DD4649"/>
    <w:rsid w:val="19DE474E"/>
    <w:rsid w:val="19E049CB"/>
    <w:rsid w:val="19E07E40"/>
    <w:rsid w:val="19F00318"/>
    <w:rsid w:val="19F828E0"/>
    <w:rsid w:val="19F97B59"/>
    <w:rsid w:val="1A1759CC"/>
    <w:rsid w:val="1A176CBB"/>
    <w:rsid w:val="1A1901CE"/>
    <w:rsid w:val="1A1D1433"/>
    <w:rsid w:val="1A255138"/>
    <w:rsid w:val="1A285075"/>
    <w:rsid w:val="1A3154A7"/>
    <w:rsid w:val="1A344D88"/>
    <w:rsid w:val="1A3C092F"/>
    <w:rsid w:val="1A3D2E5E"/>
    <w:rsid w:val="1A3F16C8"/>
    <w:rsid w:val="1A462FF1"/>
    <w:rsid w:val="1A493776"/>
    <w:rsid w:val="1A5129B5"/>
    <w:rsid w:val="1A5E68B0"/>
    <w:rsid w:val="1A5E7810"/>
    <w:rsid w:val="1A674BC7"/>
    <w:rsid w:val="1A6B04DA"/>
    <w:rsid w:val="1A806C47"/>
    <w:rsid w:val="1A8B7FF9"/>
    <w:rsid w:val="1A9D08B2"/>
    <w:rsid w:val="1A9D15AF"/>
    <w:rsid w:val="1AC37383"/>
    <w:rsid w:val="1ACB3A78"/>
    <w:rsid w:val="1ADC622C"/>
    <w:rsid w:val="1ADD29CC"/>
    <w:rsid w:val="1AE41290"/>
    <w:rsid w:val="1AEC3D40"/>
    <w:rsid w:val="1AEE03AE"/>
    <w:rsid w:val="1AF77CD2"/>
    <w:rsid w:val="1AF92171"/>
    <w:rsid w:val="1AFB0D02"/>
    <w:rsid w:val="1B050DC6"/>
    <w:rsid w:val="1B0C68C5"/>
    <w:rsid w:val="1B1A512D"/>
    <w:rsid w:val="1B1D0DA7"/>
    <w:rsid w:val="1B2055C7"/>
    <w:rsid w:val="1B3E0B60"/>
    <w:rsid w:val="1B4A4CC0"/>
    <w:rsid w:val="1B4F6914"/>
    <w:rsid w:val="1B51189D"/>
    <w:rsid w:val="1B5867D9"/>
    <w:rsid w:val="1B59564A"/>
    <w:rsid w:val="1B5D7D38"/>
    <w:rsid w:val="1B641B06"/>
    <w:rsid w:val="1B665A91"/>
    <w:rsid w:val="1B6754F5"/>
    <w:rsid w:val="1B6B16CE"/>
    <w:rsid w:val="1B6C5760"/>
    <w:rsid w:val="1B750EBF"/>
    <w:rsid w:val="1B7F4B9D"/>
    <w:rsid w:val="1B965BEC"/>
    <w:rsid w:val="1B9F5E5E"/>
    <w:rsid w:val="1BA2765E"/>
    <w:rsid w:val="1BA83A42"/>
    <w:rsid w:val="1BAA25CB"/>
    <w:rsid w:val="1BB63756"/>
    <w:rsid w:val="1BB81D01"/>
    <w:rsid w:val="1BBD7428"/>
    <w:rsid w:val="1BC02A71"/>
    <w:rsid w:val="1BC612FD"/>
    <w:rsid w:val="1BC928E2"/>
    <w:rsid w:val="1BD32217"/>
    <w:rsid w:val="1BD8470A"/>
    <w:rsid w:val="1BDB75F9"/>
    <w:rsid w:val="1BE62872"/>
    <w:rsid w:val="1BEE295F"/>
    <w:rsid w:val="1BF002DB"/>
    <w:rsid w:val="1BF84B66"/>
    <w:rsid w:val="1BFC7544"/>
    <w:rsid w:val="1BFC7D6E"/>
    <w:rsid w:val="1BFF32A3"/>
    <w:rsid w:val="1C054131"/>
    <w:rsid w:val="1C1416E4"/>
    <w:rsid w:val="1C171524"/>
    <w:rsid w:val="1C1B27F6"/>
    <w:rsid w:val="1C1B6DD4"/>
    <w:rsid w:val="1C1F3269"/>
    <w:rsid w:val="1C223494"/>
    <w:rsid w:val="1C277BCC"/>
    <w:rsid w:val="1C2B1A14"/>
    <w:rsid w:val="1C3B228F"/>
    <w:rsid w:val="1C3E7EC4"/>
    <w:rsid w:val="1C443D55"/>
    <w:rsid w:val="1C44471E"/>
    <w:rsid w:val="1C5647C0"/>
    <w:rsid w:val="1C67013B"/>
    <w:rsid w:val="1C71165A"/>
    <w:rsid w:val="1C731C1E"/>
    <w:rsid w:val="1C9E3D52"/>
    <w:rsid w:val="1CAB5A02"/>
    <w:rsid w:val="1CB82A3F"/>
    <w:rsid w:val="1CE14DDB"/>
    <w:rsid w:val="1CEB4A61"/>
    <w:rsid w:val="1CF713A8"/>
    <w:rsid w:val="1CFC5C6F"/>
    <w:rsid w:val="1D0B0266"/>
    <w:rsid w:val="1D2172C8"/>
    <w:rsid w:val="1D283C45"/>
    <w:rsid w:val="1D2F7517"/>
    <w:rsid w:val="1D326F15"/>
    <w:rsid w:val="1D3536FC"/>
    <w:rsid w:val="1D361887"/>
    <w:rsid w:val="1D3F63F1"/>
    <w:rsid w:val="1D456B0B"/>
    <w:rsid w:val="1D4A35E8"/>
    <w:rsid w:val="1D510332"/>
    <w:rsid w:val="1D55064B"/>
    <w:rsid w:val="1D5723A9"/>
    <w:rsid w:val="1D5B7E45"/>
    <w:rsid w:val="1D5C3244"/>
    <w:rsid w:val="1D855464"/>
    <w:rsid w:val="1D9562E0"/>
    <w:rsid w:val="1D9921A0"/>
    <w:rsid w:val="1D9E5D46"/>
    <w:rsid w:val="1DA36425"/>
    <w:rsid w:val="1DAC4F1D"/>
    <w:rsid w:val="1DB14EC9"/>
    <w:rsid w:val="1DBA143D"/>
    <w:rsid w:val="1DBD0255"/>
    <w:rsid w:val="1DCE41B7"/>
    <w:rsid w:val="1DD30EC4"/>
    <w:rsid w:val="1DE22407"/>
    <w:rsid w:val="1DEA0B5E"/>
    <w:rsid w:val="1DFE6DE7"/>
    <w:rsid w:val="1DFF15A0"/>
    <w:rsid w:val="1E00226A"/>
    <w:rsid w:val="1E0F5E24"/>
    <w:rsid w:val="1E115779"/>
    <w:rsid w:val="1E1F703C"/>
    <w:rsid w:val="1E2004F3"/>
    <w:rsid w:val="1E32468B"/>
    <w:rsid w:val="1E3943DD"/>
    <w:rsid w:val="1E4B6849"/>
    <w:rsid w:val="1E506AA7"/>
    <w:rsid w:val="1E544118"/>
    <w:rsid w:val="1E5535F0"/>
    <w:rsid w:val="1E5B3D15"/>
    <w:rsid w:val="1E5D7BCE"/>
    <w:rsid w:val="1E617E29"/>
    <w:rsid w:val="1E7131BB"/>
    <w:rsid w:val="1E7244D9"/>
    <w:rsid w:val="1E740FB4"/>
    <w:rsid w:val="1E7634BF"/>
    <w:rsid w:val="1E7D6397"/>
    <w:rsid w:val="1E915460"/>
    <w:rsid w:val="1E95289B"/>
    <w:rsid w:val="1E9D4933"/>
    <w:rsid w:val="1EA54398"/>
    <w:rsid w:val="1EA95FCE"/>
    <w:rsid w:val="1EB4468F"/>
    <w:rsid w:val="1EB96DDA"/>
    <w:rsid w:val="1EBC358C"/>
    <w:rsid w:val="1EC0040A"/>
    <w:rsid w:val="1EC42E2C"/>
    <w:rsid w:val="1ED437A0"/>
    <w:rsid w:val="1EE02F7F"/>
    <w:rsid w:val="1EE358B3"/>
    <w:rsid w:val="1EF57392"/>
    <w:rsid w:val="1F0719ED"/>
    <w:rsid w:val="1F0B0990"/>
    <w:rsid w:val="1F0E3CB9"/>
    <w:rsid w:val="1F145F16"/>
    <w:rsid w:val="1F177838"/>
    <w:rsid w:val="1F181B5C"/>
    <w:rsid w:val="1F1B5E15"/>
    <w:rsid w:val="1F3F6391"/>
    <w:rsid w:val="1F3F73E7"/>
    <w:rsid w:val="1F592AB3"/>
    <w:rsid w:val="1F5E166E"/>
    <w:rsid w:val="1F5E34BD"/>
    <w:rsid w:val="1F6D21A9"/>
    <w:rsid w:val="1F6E6FCB"/>
    <w:rsid w:val="1F81776E"/>
    <w:rsid w:val="1F85287B"/>
    <w:rsid w:val="1F8717F0"/>
    <w:rsid w:val="1F886A01"/>
    <w:rsid w:val="1F8B5727"/>
    <w:rsid w:val="1F917889"/>
    <w:rsid w:val="1FAC4D80"/>
    <w:rsid w:val="1FC06258"/>
    <w:rsid w:val="1FC268B8"/>
    <w:rsid w:val="1FC73B72"/>
    <w:rsid w:val="1FC7566B"/>
    <w:rsid w:val="1FC84606"/>
    <w:rsid w:val="1FD75783"/>
    <w:rsid w:val="1FE13021"/>
    <w:rsid w:val="1FF00DF7"/>
    <w:rsid w:val="1FFC08C2"/>
    <w:rsid w:val="1FFF1994"/>
    <w:rsid w:val="20026DC7"/>
    <w:rsid w:val="200E3B04"/>
    <w:rsid w:val="202525C4"/>
    <w:rsid w:val="202D0FD5"/>
    <w:rsid w:val="203D7B00"/>
    <w:rsid w:val="204E41A7"/>
    <w:rsid w:val="20514C45"/>
    <w:rsid w:val="2059485E"/>
    <w:rsid w:val="20602E6D"/>
    <w:rsid w:val="206411C0"/>
    <w:rsid w:val="206917B4"/>
    <w:rsid w:val="207349ED"/>
    <w:rsid w:val="20A66190"/>
    <w:rsid w:val="20B7242F"/>
    <w:rsid w:val="20C313C6"/>
    <w:rsid w:val="20DB677E"/>
    <w:rsid w:val="20DD4AC6"/>
    <w:rsid w:val="20E03E84"/>
    <w:rsid w:val="20E065E8"/>
    <w:rsid w:val="20EE00FF"/>
    <w:rsid w:val="212218EF"/>
    <w:rsid w:val="212C0F61"/>
    <w:rsid w:val="212D3659"/>
    <w:rsid w:val="212F4483"/>
    <w:rsid w:val="21306513"/>
    <w:rsid w:val="21314BB7"/>
    <w:rsid w:val="21365FA0"/>
    <w:rsid w:val="213B67AD"/>
    <w:rsid w:val="213C3113"/>
    <w:rsid w:val="213D07C2"/>
    <w:rsid w:val="21412EE5"/>
    <w:rsid w:val="214D4372"/>
    <w:rsid w:val="214F62B2"/>
    <w:rsid w:val="21593800"/>
    <w:rsid w:val="216E6BB9"/>
    <w:rsid w:val="217A05CD"/>
    <w:rsid w:val="218C68B3"/>
    <w:rsid w:val="218D63F7"/>
    <w:rsid w:val="21A04207"/>
    <w:rsid w:val="21B53B92"/>
    <w:rsid w:val="21B65498"/>
    <w:rsid w:val="21B8377B"/>
    <w:rsid w:val="21BB5071"/>
    <w:rsid w:val="21BD47AB"/>
    <w:rsid w:val="21BE32EA"/>
    <w:rsid w:val="21C121DD"/>
    <w:rsid w:val="21C356D7"/>
    <w:rsid w:val="21C704D7"/>
    <w:rsid w:val="21C872BB"/>
    <w:rsid w:val="21D64F66"/>
    <w:rsid w:val="21E83DC1"/>
    <w:rsid w:val="21EC081F"/>
    <w:rsid w:val="21EC6600"/>
    <w:rsid w:val="21ED07F9"/>
    <w:rsid w:val="21EF54D9"/>
    <w:rsid w:val="21FD62AF"/>
    <w:rsid w:val="21FE2505"/>
    <w:rsid w:val="22025F2E"/>
    <w:rsid w:val="22064F33"/>
    <w:rsid w:val="22147F53"/>
    <w:rsid w:val="22272D6F"/>
    <w:rsid w:val="22285841"/>
    <w:rsid w:val="222C5737"/>
    <w:rsid w:val="222E633C"/>
    <w:rsid w:val="224A1095"/>
    <w:rsid w:val="226042B4"/>
    <w:rsid w:val="226320E3"/>
    <w:rsid w:val="226A79CD"/>
    <w:rsid w:val="229513D9"/>
    <w:rsid w:val="22A13BDF"/>
    <w:rsid w:val="22AA161F"/>
    <w:rsid w:val="22AA3E26"/>
    <w:rsid w:val="22AB09FA"/>
    <w:rsid w:val="22B24BA5"/>
    <w:rsid w:val="22CF2ECE"/>
    <w:rsid w:val="22D84DB1"/>
    <w:rsid w:val="22E956C2"/>
    <w:rsid w:val="22EA7AEA"/>
    <w:rsid w:val="22ED33F9"/>
    <w:rsid w:val="22F62EFD"/>
    <w:rsid w:val="22F634A4"/>
    <w:rsid w:val="23055921"/>
    <w:rsid w:val="230D032D"/>
    <w:rsid w:val="230D3C5F"/>
    <w:rsid w:val="23183543"/>
    <w:rsid w:val="232100BA"/>
    <w:rsid w:val="23235F10"/>
    <w:rsid w:val="2338730E"/>
    <w:rsid w:val="23417379"/>
    <w:rsid w:val="23465B27"/>
    <w:rsid w:val="234C7098"/>
    <w:rsid w:val="234E453C"/>
    <w:rsid w:val="234F05CF"/>
    <w:rsid w:val="235262B9"/>
    <w:rsid w:val="235842F6"/>
    <w:rsid w:val="235D076B"/>
    <w:rsid w:val="235D2AF6"/>
    <w:rsid w:val="23606B81"/>
    <w:rsid w:val="236B5C05"/>
    <w:rsid w:val="237C3DAE"/>
    <w:rsid w:val="237D4552"/>
    <w:rsid w:val="238A1537"/>
    <w:rsid w:val="238F22EF"/>
    <w:rsid w:val="2391398C"/>
    <w:rsid w:val="239862BB"/>
    <w:rsid w:val="23A143FF"/>
    <w:rsid w:val="23A26B0E"/>
    <w:rsid w:val="23CF7607"/>
    <w:rsid w:val="23E3186B"/>
    <w:rsid w:val="23E76D56"/>
    <w:rsid w:val="23F37DCB"/>
    <w:rsid w:val="24034432"/>
    <w:rsid w:val="24100987"/>
    <w:rsid w:val="24117AFA"/>
    <w:rsid w:val="24216251"/>
    <w:rsid w:val="24384FB1"/>
    <w:rsid w:val="243E7369"/>
    <w:rsid w:val="2447369C"/>
    <w:rsid w:val="245A504C"/>
    <w:rsid w:val="245D7918"/>
    <w:rsid w:val="24605F2E"/>
    <w:rsid w:val="24822F81"/>
    <w:rsid w:val="24985F70"/>
    <w:rsid w:val="249D5EB0"/>
    <w:rsid w:val="24B26963"/>
    <w:rsid w:val="24BB447C"/>
    <w:rsid w:val="24DE58CB"/>
    <w:rsid w:val="24E9402D"/>
    <w:rsid w:val="24F62D7D"/>
    <w:rsid w:val="2500403B"/>
    <w:rsid w:val="25051B83"/>
    <w:rsid w:val="250C6FB6"/>
    <w:rsid w:val="251A3E28"/>
    <w:rsid w:val="251B37FF"/>
    <w:rsid w:val="25221B0A"/>
    <w:rsid w:val="25240350"/>
    <w:rsid w:val="252D7613"/>
    <w:rsid w:val="25313AA6"/>
    <w:rsid w:val="254857F6"/>
    <w:rsid w:val="254B7024"/>
    <w:rsid w:val="254C1CAD"/>
    <w:rsid w:val="255A1B46"/>
    <w:rsid w:val="25603AC8"/>
    <w:rsid w:val="257B4127"/>
    <w:rsid w:val="257C5E51"/>
    <w:rsid w:val="258C20BD"/>
    <w:rsid w:val="258C602D"/>
    <w:rsid w:val="25924248"/>
    <w:rsid w:val="25A71205"/>
    <w:rsid w:val="25B500F0"/>
    <w:rsid w:val="25B60E62"/>
    <w:rsid w:val="25BC20E6"/>
    <w:rsid w:val="25D0127F"/>
    <w:rsid w:val="25D66059"/>
    <w:rsid w:val="25E80A1C"/>
    <w:rsid w:val="25E9700F"/>
    <w:rsid w:val="25FB5B7A"/>
    <w:rsid w:val="25FC5AC4"/>
    <w:rsid w:val="26051796"/>
    <w:rsid w:val="26133468"/>
    <w:rsid w:val="26163F62"/>
    <w:rsid w:val="26234A98"/>
    <w:rsid w:val="26243F7B"/>
    <w:rsid w:val="2628749B"/>
    <w:rsid w:val="2631431D"/>
    <w:rsid w:val="2640414D"/>
    <w:rsid w:val="26457CCA"/>
    <w:rsid w:val="265443DF"/>
    <w:rsid w:val="26594B92"/>
    <w:rsid w:val="265A4243"/>
    <w:rsid w:val="265F2193"/>
    <w:rsid w:val="266241F6"/>
    <w:rsid w:val="2667420C"/>
    <w:rsid w:val="26712C4F"/>
    <w:rsid w:val="2673338F"/>
    <w:rsid w:val="26772D06"/>
    <w:rsid w:val="268C543A"/>
    <w:rsid w:val="268C6133"/>
    <w:rsid w:val="268E4BCF"/>
    <w:rsid w:val="268F4EBF"/>
    <w:rsid w:val="26976A04"/>
    <w:rsid w:val="26984E11"/>
    <w:rsid w:val="269857B1"/>
    <w:rsid w:val="26A22BE4"/>
    <w:rsid w:val="26A603D3"/>
    <w:rsid w:val="26AD3E79"/>
    <w:rsid w:val="26BD6E9B"/>
    <w:rsid w:val="26C1398C"/>
    <w:rsid w:val="26C21520"/>
    <w:rsid w:val="26C21920"/>
    <w:rsid w:val="26C27ADE"/>
    <w:rsid w:val="26C83278"/>
    <w:rsid w:val="26CD285B"/>
    <w:rsid w:val="26DF10D1"/>
    <w:rsid w:val="26EC3221"/>
    <w:rsid w:val="26FA7981"/>
    <w:rsid w:val="27023B9B"/>
    <w:rsid w:val="270C7632"/>
    <w:rsid w:val="27174391"/>
    <w:rsid w:val="272318DF"/>
    <w:rsid w:val="272D74D0"/>
    <w:rsid w:val="273A0F23"/>
    <w:rsid w:val="274C20C1"/>
    <w:rsid w:val="274E2F3E"/>
    <w:rsid w:val="275909AA"/>
    <w:rsid w:val="275B50C4"/>
    <w:rsid w:val="27634914"/>
    <w:rsid w:val="27721F9D"/>
    <w:rsid w:val="278050D4"/>
    <w:rsid w:val="2786149F"/>
    <w:rsid w:val="2793370A"/>
    <w:rsid w:val="279A1566"/>
    <w:rsid w:val="27A774C6"/>
    <w:rsid w:val="27B21EB3"/>
    <w:rsid w:val="27B8343B"/>
    <w:rsid w:val="27E64CA6"/>
    <w:rsid w:val="27F15FE1"/>
    <w:rsid w:val="27F34029"/>
    <w:rsid w:val="27F5089C"/>
    <w:rsid w:val="27F9208F"/>
    <w:rsid w:val="28096A76"/>
    <w:rsid w:val="280F7B15"/>
    <w:rsid w:val="2816259B"/>
    <w:rsid w:val="281A48CD"/>
    <w:rsid w:val="282E3CE9"/>
    <w:rsid w:val="28337980"/>
    <w:rsid w:val="284F5913"/>
    <w:rsid w:val="2860361C"/>
    <w:rsid w:val="28647618"/>
    <w:rsid w:val="2865506B"/>
    <w:rsid w:val="286F5698"/>
    <w:rsid w:val="287107AF"/>
    <w:rsid w:val="288254C0"/>
    <w:rsid w:val="28973523"/>
    <w:rsid w:val="28AD3988"/>
    <w:rsid w:val="28B37F7A"/>
    <w:rsid w:val="28B47078"/>
    <w:rsid w:val="28BE3AC8"/>
    <w:rsid w:val="28C81B46"/>
    <w:rsid w:val="28CF3E84"/>
    <w:rsid w:val="28D8766B"/>
    <w:rsid w:val="28E50960"/>
    <w:rsid w:val="28F32E14"/>
    <w:rsid w:val="290529F9"/>
    <w:rsid w:val="291B05CD"/>
    <w:rsid w:val="29217705"/>
    <w:rsid w:val="292A5DEE"/>
    <w:rsid w:val="2930544B"/>
    <w:rsid w:val="29354AB1"/>
    <w:rsid w:val="29487EB6"/>
    <w:rsid w:val="29496E2E"/>
    <w:rsid w:val="29534561"/>
    <w:rsid w:val="295B23B5"/>
    <w:rsid w:val="295B7506"/>
    <w:rsid w:val="295F5A33"/>
    <w:rsid w:val="296171CE"/>
    <w:rsid w:val="29733EFC"/>
    <w:rsid w:val="297C36A1"/>
    <w:rsid w:val="2986483D"/>
    <w:rsid w:val="298668DE"/>
    <w:rsid w:val="298C308F"/>
    <w:rsid w:val="298F6CB9"/>
    <w:rsid w:val="29901AB6"/>
    <w:rsid w:val="299D2C16"/>
    <w:rsid w:val="29B705DE"/>
    <w:rsid w:val="29BD19EA"/>
    <w:rsid w:val="29BD3517"/>
    <w:rsid w:val="29F220D8"/>
    <w:rsid w:val="29F232E8"/>
    <w:rsid w:val="2A0064A2"/>
    <w:rsid w:val="2A1259D5"/>
    <w:rsid w:val="2A271F51"/>
    <w:rsid w:val="2A340B91"/>
    <w:rsid w:val="2A3540DB"/>
    <w:rsid w:val="2A5C4E73"/>
    <w:rsid w:val="2A5F57C9"/>
    <w:rsid w:val="2A613FB0"/>
    <w:rsid w:val="2A8C0147"/>
    <w:rsid w:val="2A8D0C97"/>
    <w:rsid w:val="2A9011C9"/>
    <w:rsid w:val="2AD0123E"/>
    <w:rsid w:val="2AD12CD1"/>
    <w:rsid w:val="2AE15C01"/>
    <w:rsid w:val="2AE37320"/>
    <w:rsid w:val="2AE73D56"/>
    <w:rsid w:val="2AEE0A4B"/>
    <w:rsid w:val="2AEE3121"/>
    <w:rsid w:val="2AFA5EA4"/>
    <w:rsid w:val="2AFD271C"/>
    <w:rsid w:val="2AFD7A97"/>
    <w:rsid w:val="2B004C53"/>
    <w:rsid w:val="2B010604"/>
    <w:rsid w:val="2B201B1F"/>
    <w:rsid w:val="2B2C7A5D"/>
    <w:rsid w:val="2B3208CD"/>
    <w:rsid w:val="2B3563E2"/>
    <w:rsid w:val="2B4776F4"/>
    <w:rsid w:val="2B486F6C"/>
    <w:rsid w:val="2B5B3431"/>
    <w:rsid w:val="2B67626C"/>
    <w:rsid w:val="2B687DCD"/>
    <w:rsid w:val="2B6A47D0"/>
    <w:rsid w:val="2B70498B"/>
    <w:rsid w:val="2B7C04A8"/>
    <w:rsid w:val="2BA7535E"/>
    <w:rsid w:val="2BAB36A3"/>
    <w:rsid w:val="2BAD7091"/>
    <w:rsid w:val="2BB8383E"/>
    <w:rsid w:val="2BBE6763"/>
    <w:rsid w:val="2BC13474"/>
    <w:rsid w:val="2BC57E35"/>
    <w:rsid w:val="2BC760E7"/>
    <w:rsid w:val="2BCC043B"/>
    <w:rsid w:val="2BCF1435"/>
    <w:rsid w:val="2BD076BC"/>
    <w:rsid w:val="2BD15D4B"/>
    <w:rsid w:val="2BF67CB5"/>
    <w:rsid w:val="2C137D8E"/>
    <w:rsid w:val="2C1B74D0"/>
    <w:rsid w:val="2C2A4DC6"/>
    <w:rsid w:val="2C3B7751"/>
    <w:rsid w:val="2C432F77"/>
    <w:rsid w:val="2C494105"/>
    <w:rsid w:val="2C665770"/>
    <w:rsid w:val="2C6E36F8"/>
    <w:rsid w:val="2C760ED4"/>
    <w:rsid w:val="2C821324"/>
    <w:rsid w:val="2C9222B1"/>
    <w:rsid w:val="2C943523"/>
    <w:rsid w:val="2C9B3C38"/>
    <w:rsid w:val="2CAF43A3"/>
    <w:rsid w:val="2CCA18BB"/>
    <w:rsid w:val="2CD843D0"/>
    <w:rsid w:val="2CE90B44"/>
    <w:rsid w:val="2CF046FC"/>
    <w:rsid w:val="2D005448"/>
    <w:rsid w:val="2D182629"/>
    <w:rsid w:val="2D2B31EA"/>
    <w:rsid w:val="2D2C4F8C"/>
    <w:rsid w:val="2D4558A7"/>
    <w:rsid w:val="2D564B47"/>
    <w:rsid w:val="2D624E20"/>
    <w:rsid w:val="2D6D14FB"/>
    <w:rsid w:val="2D734DD3"/>
    <w:rsid w:val="2D755491"/>
    <w:rsid w:val="2D757F7F"/>
    <w:rsid w:val="2D7F1567"/>
    <w:rsid w:val="2D872004"/>
    <w:rsid w:val="2D9C0F15"/>
    <w:rsid w:val="2DA421A5"/>
    <w:rsid w:val="2DA84615"/>
    <w:rsid w:val="2DBC6DE5"/>
    <w:rsid w:val="2DC45296"/>
    <w:rsid w:val="2DD07611"/>
    <w:rsid w:val="2DD444D5"/>
    <w:rsid w:val="2DD96D8E"/>
    <w:rsid w:val="2DE6603B"/>
    <w:rsid w:val="2DFA3B71"/>
    <w:rsid w:val="2DFD34B7"/>
    <w:rsid w:val="2E191C04"/>
    <w:rsid w:val="2E1A1C28"/>
    <w:rsid w:val="2E247737"/>
    <w:rsid w:val="2E2E1034"/>
    <w:rsid w:val="2E4B7402"/>
    <w:rsid w:val="2E592E06"/>
    <w:rsid w:val="2E5D3ABD"/>
    <w:rsid w:val="2E627013"/>
    <w:rsid w:val="2E773244"/>
    <w:rsid w:val="2E78578F"/>
    <w:rsid w:val="2E794732"/>
    <w:rsid w:val="2E8201D9"/>
    <w:rsid w:val="2E9148F8"/>
    <w:rsid w:val="2E936999"/>
    <w:rsid w:val="2E955E24"/>
    <w:rsid w:val="2EA02D68"/>
    <w:rsid w:val="2EA353E8"/>
    <w:rsid w:val="2EB46A51"/>
    <w:rsid w:val="2EB651FE"/>
    <w:rsid w:val="2EBE02DE"/>
    <w:rsid w:val="2EBE1A94"/>
    <w:rsid w:val="2EE15616"/>
    <w:rsid w:val="2EEA6F24"/>
    <w:rsid w:val="2EEF2433"/>
    <w:rsid w:val="2EF00EF9"/>
    <w:rsid w:val="2EF533CA"/>
    <w:rsid w:val="2EF56CAF"/>
    <w:rsid w:val="2EF737DA"/>
    <w:rsid w:val="2EFE1EF6"/>
    <w:rsid w:val="2F167255"/>
    <w:rsid w:val="2F195EEA"/>
    <w:rsid w:val="2F1F5D67"/>
    <w:rsid w:val="2F241060"/>
    <w:rsid w:val="2F241723"/>
    <w:rsid w:val="2F251B74"/>
    <w:rsid w:val="2F410BA9"/>
    <w:rsid w:val="2F505F04"/>
    <w:rsid w:val="2F514E49"/>
    <w:rsid w:val="2F5B1D76"/>
    <w:rsid w:val="2F787DA0"/>
    <w:rsid w:val="2F7B0503"/>
    <w:rsid w:val="2FA54F62"/>
    <w:rsid w:val="2FB83B88"/>
    <w:rsid w:val="2FD057FC"/>
    <w:rsid w:val="2FD42D8D"/>
    <w:rsid w:val="2FDD6A9B"/>
    <w:rsid w:val="2FE36179"/>
    <w:rsid w:val="2FE40E6D"/>
    <w:rsid w:val="2FEB7B96"/>
    <w:rsid w:val="2FEE5B55"/>
    <w:rsid w:val="2FF036FA"/>
    <w:rsid w:val="2FF215D0"/>
    <w:rsid w:val="300F4FE2"/>
    <w:rsid w:val="30193FC6"/>
    <w:rsid w:val="301E4CC5"/>
    <w:rsid w:val="30283346"/>
    <w:rsid w:val="3029657E"/>
    <w:rsid w:val="30336360"/>
    <w:rsid w:val="30471FD8"/>
    <w:rsid w:val="304D7F5B"/>
    <w:rsid w:val="305749D7"/>
    <w:rsid w:val="305B1C78"/>
    <w:rsid w:val="305F57C1"/>
    <w:rsid w:val="30657EB7"/>
    <w:rsid w:val="30676279"/>
    <w:rsid w:val="30733B30"/>
    <w:rsid w:val="30746AD5"/>
    <w:rsid w:val="30752FA6"/>
    <w:rsid w:val="30802F71"/>
    <w:rsid w:val="30805155"/>
    <w:rsid w:val="30883405"/>
    <w:rsid w:val="308F39F7"/>
    <w:rsid w:val="30902690"/>
    <w:rsid w:val="3092496C"/>
    <w:rsid w:val="30B9433C"/>
    <w:rsid w:val="30BE2CBF"/>
    <w:rsid w:val="30C60B4C"/>
    <w:rsid w:val="30C77DF9"/>
    <w:rsid w:val="30DB7542"/>
    <w:rsid w:val="30E01F5C"/>
    <w:rsid w:val="30EE2903"/>
    <w:rsid w:val="30EE62EE"/>
    <w:rsid w:val="30F039A7"/>
    <w:rsid w:val="30FB1C00"/>
    <w:rsid w:val="30FC4BA2"/>
    <w:rsid w:val="31120994"/>
    <w:rsid w:val="311C20DC"/>
    <w:rsid w:val="312A7BA4"/>
    <w:rsid w:val="312C4EFC"/>
    <w:rsid w:val="31323549"/>
    <w:rsid w:val="3138432B"/>
    <w:rsid w:val="313C34BF"/>
    <w:rsid w:val="314D2D39"/>
    <w:rsid w:val="3150433F"/>
    <w:rsid w:val="316D4A5B"/>
    <w:rsid w:val="317D057D"/>
    <w:rsid w:val="31837156"/>
    <w:rsid w:val="318D7166"/>
    <w:rsid w:val="318E41BB"/>
    <w:rsid w:val="318F2372"/>
    <w:rsid w:val="31992871"/>
    <w:rsid w:val="319D1429"/>
    <w:rsid w:val="31A12EF4"/>
    <w:rsid w:val="31A651A4"/>
    <w:rsid w:val="31AB19BE"/>
    <w:rsid w:val="31B35229"/>
    <w:rsid w:val="31C44B3B"/>
    <w:rsid w:val="31D44434"/>
    <w:rsid w:val="31DE475C"/>
    <w:rsid w:val="31E056E9"/>
    <w:rsid w:val="31F70152"/>
    <w:rsid w:val="32003411"/>
    <w:rsid w:val="320210D2"/>
    <w:rsid w:val="32022145"/>
    <w:rsid w:val="321F2FCF"/>
    <w:rsid w:val="32213636"/>
    <w:rsid w:val="32230D92"/>
    <w:rsid w:val="32314F03"/>
    <w:rsid w:val="32320972"/>
    <w:rsid w:val="323C79F2"/>
    <w:rsid w:val="324E7541"/>
    <w:rsid w:val="32594302"/>
    <w:rsid w:val="325F5B62"/>
    <w:rsid w:val="32656AE7"/>
    <w:rsid w:val="326723B3"/>
    <w:rsid w:val="326B7BC8"/>
    <w:rsid w:val="32702ADF"/>
    <w:rsid w:val="329741C7"/>
    <w:rsid w:val="329E2877"/>
    <w:rsid w:val="329E3C57"/>
    <w:rsid w:val="329E5AB6"/>
    <w:rsid w:val="32AB69AA"/>
    <w:rsid w:val="32B80B44"/>
    <w:rsid w:val="32C06B98"/>
    <w:rsid w:val="32CB7FF2"/>
    <w:rsid w:val="32D260FC"/>
    <w:rsid w:val="32D468B2"/>
    <w:rsid w:val="32DD4943"/>
    <w:rsid w:val="32DE69EA"/>
    <w:rsid w:val="32E4131A"/>
    <w:rsid w:val="32E567B0"/>
    <w:rsid w:val="32E9035A"/>
    <w:rsid w:val="32F357FC"/>
    <w:rsid w:val="32F779C1"/>
    <w:rsid w:val="32FE7A06"/>
    <w:rsid w:val="32FF3514"/>
    <w:rsid w:val="3305388B"/>
    <w:rsid w:val="33145EA9"/>
    <w:rsid w:val="332D3E9A"/>
    <w:rsid w:val="333759F4"/>
    <w:rsid w:val="333C1C9C"/>
    <w:rsid w:val="33421DD2"/>
    <w:rsid w:val="33427ECC"/>
    <w:rsid w:val="33484FBA"/>
    <w:rsid w:val="336B24DA"/>
    <w:rsid w:val="336C06DC"/>
    <w:rsid w:val="33720BFB"/>
    <w:rsid w:val="33791A85"/>
    <w:rsid w:val="33AE7180"/>
    <w:rsid w:val="33B34DCB"/>
    <w:rsid w:val="33BA1966"/>
    <w:rsid w:val="33DE0FAC"/>
    <w:rsid w:val="33E17E18"/>
    <w:rsid w:val="33E52C44"/>
    <w:rsid w:val="33E83BFC"/>
    <w:rsid w:val="33F37A44"/>
    <w:rsid w:val="33FA6AFE"/>
    <w:rsid w:val="33FD406D"/>
    <w:rsid w:val="340A2899"/>
    <w:rsid w:val="340C171E"/>
    <w:rsid w:val="34104F4E"/>
    <w:rsid w:val="34192965"/>
    <w:rsid w:val="34234910"/>
    <w:rsid w:val="342505A1"/>
    <w:rsid w:val="34361C62"/>
    <w:rsid w:val="343D4FA1"/>
    <w:rsid w:val="343D79E0"/>
    <w:rsid w:val="344A6EB6"/>
    <w:rsid w:val="344F3CBF"/>
    <w:rsid w:val="345E3E42"/>
    <w:rsid w:val="345E6AD6"/>
    <w:rsid w:val="3467383D"/>
    <w:rsid w:val="348E7732"/>
    <w:rsid w:val="348F593A"/>
    <w:rsid w:val="34936F2D"/>
    <w:rsid w:val="34943F47"/>
    <w:rsid w:val="34A935F8"/>
    <w:rsid w:val="34AA35D7"/>
    <w:rsid w:val="34AF2C14"/>
    <w:rsid w:val="34B6678B"/>
    <w:rsid w:val="34BC68DA"/>
    <w:rsid w:val="34BD2FBD"/>
    <w:rsid w:val="34C846A4"/>
    <w:rsid w:val="34D36A72"/>
    <w:rsid w:val="34D44EFF"/>
    <w:rsid w:val="34D95325"/>
    <w:rsid w:val="34DA26FF"/>
    <w:rsid w:val="34DD4328"/>
    <w:rsid w:val="34DE3C45"/>
    <w:rsid w:val="34E404D5"/>
    <w:rsid w:val="34EA5713"/>
    <w:rsid w:val="3507747D"/>
    <w:rsid w:val="35102A67"/>
    <w:rsid w:val="35150390"/>
    <w:rsid w:val="351C0225"/>
    <w:rsid w:val="352D0B9F"/>
    <w:rsid w:val="35480721"/>
    <w:rsid w:val="35511C2A"/>
    <w:rsid w:val="35556912"/>
    <w:rsid w:val="35572C4B"/>
    <w:rsid w:val="355F3D47"/>
    <w:rsid w:val="35682325"/>
    <w:rsid w:val="35827F69"/>
    <w:rsid w:val="358F0ACD"/>
    <w:rsid w:val="3593713C"/>
    <w:rsid w:val="359830C7"/>
    <w:rsid w:val="35996A7C"/>
    <w:rsid w:val="359B3FE2"/>
    <w:rsid w:val="359E3800"/>
    <w:rsid w:val="35A41A19"/>
    <w:rsid w:val="35AD06D9"/>
    <w:rsid w:val="35D171CE"/>
    <w:rsid w:val="35D414A7"/>
    <w:rsid w:val="35E0205C"/>
    <w:rsid w:val="35E731BC"/>
    <w:rsid w:val="3602317B"/>
    <w:rsid w:val="360B2677"/>
    <w:rsid w:val="36227064"/>
    <w:rsid w:val="36250B35"/>
    <w:rsid w:val="362C4F47"/>
    <w:rsid w:val="36345A00"/>
    <w:rsid w:val="364A4234"/>
    <w:rsid w:val="364F05D8"/>
    <w:rsid w:val="36546E9E"/>
    <w:rsid w:val="366255E6"/>
    <w:rsid w:val="366A7BF1"/>
    <w:rsid w:val="367575C1"/>
    <w:rsid w:val="3678158D"/>
    <w:rsid w:val="36790195"/>
    <w:rsid w:val="368F0117"/>
    <w:rsid w:val="369B551A"/>
    <w:rsid w:val="36A352F7"/>
    <w:rsid w:val="36AA4E18"/>
    <w:rsid w:val="36AF5D59"/>
    <w:rsid w:val="36B842AD"/>
    <w:rsid w:val="36C239A0"/>
    <w:rsid w:val="36C8665A"/>
    <w:rsid w:val="36CC7660"/>
    <w:rsid w:val="36D0060C"/>
    <w:rsid w:val="36DE347A"/>
    <w:rsid w:val="36DE4A17"/>
    <w:rsid w:val="36E02961"/>
    <w:rsid w:val="36E9673D"/>
    <w:rsid w:val="36ED1EBB"/>
    <w:rsid w:val="36ED3E14"/>
    <w:rsid w:val="36EF682A"/>
    <w:rsid w:val="36F032F8"/>
    <w:rsid w:val="36F20E48"/>
    <w:rsid w:val="36F457EC"/>
    <w:rsid w:val="36F56B65"/>
    <w:rsid w:val="36F7692B"/>
    <w:rsid w:val="36FA2CBC"/>
    <w:rsid w:val="36FF3776"/>
    <w:rsid w:val="370F311F"/>
    <w:rsid w:val="37116F68"/>
    <w:rsid w:val="371E6AA7"/>
    <w:rsid w:val="37214531"/>
    <w:rsid w:val="373B06A8"/>
    <w:rsid w:val="37486731"/>
    <w:rsid w:val="37617894"/>
    <w:rsid w:val="3775544A"/>
    <w:rsid w:val="37777EC3"/>
    <w:rsid w:val="37785EC5"/>
    <w:rsid w:val="3788624B"/>
    <w:rsid w:val="378B5352"/>
    <w:rsid w:val="378E009C"/>
    <w:rsid w:val="3792778F"/>
    <w:rsid w:val="37967D1F"/>
    <w:rsid w:val="37987FD4"/>
    <w:rsid w:val="379C1F69"/>
    <w:rsid w:val="37AD2F22"/>
    <w:rsid w:val="37B1170B"/>
    <w:rsid w:val="37B60B4A"/>
    <w:rsid w:val="37B97E89"/>
    <w:rsid w:val="37ED1359"/>
    <w:rsid w:val="37F255BB"/>
    <w:rsid w:val="37F85857"/>
    <w:rsid w:val="37FA6B03"/>
    <w:rsid w:val="38074345"/>
    <w:rsid w:val="380E7AF8"/>
    <w:rsid w:val="381151B1"/>
    <w:rsid w:val="381D1C94"/>
    <w:rsid w:val="38215665"/>
    <w:rsid w:val="38263559"/>
    <w:rsid w:val="382707EE"/>
    <w:rsid w:val="383114E4"/>
    <w:rsid w:val="38415777"/>
    <w:rsid w:val="384202D7"/>
    <w:rsid w:val="38422F4C"/>
    <w:rsid w:val="38455548"/>
    <w:rsid w:val="384C2B42"/>
    <w:rsid w:val="384F4524"/>
    <w:rsid w:val="38536F8B"/>
    <w:rsid w:val="3854185F"/>
    <w:rsid w:val="385E6EDB"/>
    <w:rsid w:val="38684D92"/>
    <w:rsid w:val="387B06DC"/>
    <w:rsid w:val="388C231F"/>
    <w:rsid w:val="38A9291F"/>
    <w:rsid w:val="38AC378B"/>
    <w:rsid w:val="38B60315"/>
    <w:rsid w:val="38BD7F49"/>
    <w:rsid w:val="38C23006"/>
    <w:rsid w:val="38C513EB"/>
    <w:rsid w:val="38C73061"/>
    <w:rsid w:val="38C80086"/>
    <w:rsid w:val="38CD340E"/>
    <w:rsid w:val="38D56F12"/>
    <w:rsid w:val="38DE1A2C"/>
    <w:rsid w:val="38EE00B2"/>
    <w:rsid w:val="38EF7723"/>
    <w:rsid w:val="38F43BCA"/>
    <w:rsid w:val="38F85ECF"/>
    <w:rsid w:val="39063381"/>
    <w:rsid w:val="390B7FA0"/>
    <w:rsid w:val="39127597"/>
    <w:rsid w:val="391A6F53"/>
    <w:rsid w:val="391D1DE0"/>
    <w:rsid w:val="391F2B2E"/>
    <w:rsid w:val="391F3FB5"/>
    <w:rsid w:val="39311FDE"/>
    <w:rsid w:val="3936395D"/>
    <w:rsid w:val="393A0B1B"/>
    <w:rsid w:val="3948250F"/>
    <w:rsid w:val="394E4684"/>
    <w:rsid w:val="395029F8"/>
    <w:rsid w:val="395366C8"/>
    <w:rsid w:val="39585AB6"/>
    <w:rsid w:val="396907B8"/>
    <w:rsid w:val="396A1533"/>
    <w:rsid w:val="396A2560"/>
    <w:rsid w:val="3975781B"/>
    <w:rsid w:val="39856D28"/>
    <w:rsid w:val="39856FBA"/>
    <w:rsid w:val="39882CD5"/>
    <w:rsid w:val="398F7999"/>
    <w:rsid w:val="399F5E7D"/>
    <w:rsid w:val="39A0348E"/>
    <w:rsid w:val="39A35E95"/>
    <w:rsid w:val="39AD75D5"/>
    <w:rsid w:val="39B023B5"/>
    <w:rsid w:val="39B13562"/>
    <w:rsid w:val="39BE37AA"/>
    <w:rsid w:val="39D510D8"/>
    <w:rsid w:val="39E47455"/>
    <w:rsid w:val="39FA354A"/>
    <w:rsid w:val="3A075764"/>
    <w:rsid w:val="3A101D8C"/>
    <w:rsid w:val="3A1C232D"/>
    <w:rsid w:val="3A1E6AC8"/>
    <w:rsid w:val="3A20765C"/>
    <w:rsid w:val="3A240101"/>
    <w:rsid w:val="3A2F1EFE"/>
    <w:rsid w:val="3A3229E7"/>
    <w:rsid w:val="3A45737E"/>
    <w:rsid w:val="3A5059AE"/>
    <w:rsid w:val="3A5508DD"/>
    <w:rsid w:val="3A5A3F88"/>
    <w:rsid w:val="3A684A43"/>
    <w:rsid w:val="3A7F5868"/>
    <w:rsid w:val="3A7F7CB3"/>
    <w:rsid w:val="3A832A77"/>
    <w:rsid w:val="3A887B76"/>
    <w:rsid w:val="3A8A343B"/>
    <w:rsid w:val="3A8B35FD"/>
    <w:rsid w:val="3A8B4DF0"/>
    <w:rsid w:val="3A8D69B2"/>
    <w:rsid w:val="3A910458"/>
    <w:rsid w:val="3AB8118F"/>
    <w:rsid w:val="3ABB56FE"/>
    <w:rsid w:val="3AC16557"/>
    <w:rsid w:val="3AC22BC4"/>
    <w:rsid w:val="3AC4173F"/>
    <w:rsid w:val="3ACD669C"/>
    <w:rsid w:val="3AD25EDF"/>
    <w:rsid w:val="3AD56132"/>
    <w:rsid w:val="3ADD19B2"/>
    <w:rsid w:val="3ADD6BC7"/>
    <w:rsid w:val="3ADF0C07"/>
    <w:rsid w:val="3AE02ED1"/>
    <w:rsid w:val="3AE1639F"/>
    <w:rsid w:val="3AEC3FB8"/>
    <w:rsid w:val="3AFC7647"/>
    <w:rsid w:val="3B2111A2"/>
    <w:rsid w:val="3B2368FB"/>
    <w:rsid w:val="3B2C27E2"/>
    <w:rsid w:val="3B2E0454"/>
    <w:rsid w:val="3B2E7EC0"/>
    <w:rsid w:val="3B3B6DBC"/>
    <w:rsid w:val="3B5105A5"/>
    <w:rsid w:val="3B587322"/>
    <w:rsid w:val="3B6353C5"/>
    <w:rsid w:val="3B6637EB"/>
    <w:rsid w:val="3B6D2C23"/>
    <w:rsid w:val="3B7B2D61"/>
    <w:rsid w:val="3B9A307E"/>
    <w:rsid w:val="3BB147BE"/>
    <w:rsid w:val="3BCF6453"/>
    <w:rsid w:val="3BD36908"/>
    <w:rsid w:val="3BDB681C"/>
    <w:rsid w:val="3BDF1E9E"/>
    <w:rsid w:val="3BE80EC0"/>
    <w:rsid w:val="3BEC343C"/>
    <w:rsid w:val="3BF62F85"/>
    <w:rsid w:val="3BF757CA"/>
    <w:rsid w:val="3BFD72B6"/>
    <w:rsid w:val="3BFE1161"/>
    <w:rsid w:val="3C036F18"/>
    <w:rsid w:val="3C1D1578"/>
    <w:rsid w:val="3C2A2295"/>
    <w:rsid w:val="3C2D2941"/>
    <w:rsid w:val="3C337F29"/>
    <w:rsid w:val="3C451B41"/>
    <w:rsid w:val="3C4B0E13"/>
    <w:rsid w:val="3C4B6963"/>
    <w:rsid w:val="3C4E0657"/>
    <w:rsid w:val="3C580969"/>
    <w:rsid w:val="3C5B3E82"/>
    <w:rsid w:val="3CB305AB"/>
    <w:rsid w:val="3CB67485"/>
    <w:rsid w:val="3CBA47EF"/>
    <w:rsid w:val="3CBC17E1"/>
    <w:rsid w:val="3CC918DB"/>
    <w:rsid w:val="3CCA7E12"/>
    <w:rsid w:val="3CCD157E"/>
    <w:rsid w:val="3CD43922"/>
    <w:rsid w:val="3CD67964"/>
    <w:rsid w:val="3CE772DA"/>
    <w:rsid w:val="3CEB5BF1"/>
    <w:rsid w:val="3CF06447"/>
    <w:rsid w:val="3D070B07"/>
    <w:rsid w:val="3D081F01"/>
    <w:rsid w:val="3D136BE5"/>
    <w:rsid w:val="3D2346E0"/>
    <w:rsid w:val="3D270AD8"/>
    <w:rsid w:val="3D2E1B5D"/>
    <w:rsid w:val="3D3726F7"/>
    <w:rsid w:val="3D4F132B"/>
    <w:rsid w:val="3D612D4F"/>
    <w:rsid w:val="3D620406"/>
    <w:rsid w:val="3D621B5A"/>
    <w:rsid w:val="3D6A7C04"/>
    <w:rsid w:val="3D7B0FB5"/>
    <w:rsid w:val="3D8256DE"/>
    <w:rsid w:val="3D827ADA"/>
    <w:rsid w:val="3D833254"/>
    <w:rsid w:val="3D851446"/>
    <w:rsid w:val="3DCF608A"/>
    <w:rsid w:val="3DD548BD"/>
    <w:rsid w:val="3DDF401D"/>
    <w:rsid w:val="3DDF6631"/>
    <w:rsid w:val="3DEE7AB5"/>
    <w:rsid w:val="3DEF6CDB"/>
    <w:rsid w:val="3DF63861"/>
    <w:rsid w:val="3DF63AF8"/>
    <w:rsid w:val="3DFB556C"/>
    <w:rsid w:val="3E140283"/>
    <w:rsid w:val="3E175CCB"/>
    <w:rsid w:val="3E1B6D09"/>
    <w:rsid w:val="3E2079A4"/>
    <w:rsid w:val="3E272B88"/>
    <w:rsid w:val="3E353344"/>
    <w:rsid w:val="3E467AEC"/>
    <w:rsid w:val="3E4C2825"/>
    <w:rsid w:val="3E576C9F"/>
    <w:rsid w:val="3E5E4F85"/>
    <w:rsid w:val="3E63380A"/>
    <w:rsid w:val="3E75187E"/>
    <w:rsid w:val="3E8420C0"/>
    <w:rsid w:val="3E9721CE"/>
    <w:rsid w:val="3E980315"/>
    <w:rsid w:val="3EAD00AE"/>
    <w:rsid w:val="3EB50B12"/>
    <w:rsid w:val="3EB86394"/>
    <w:rsid w:val="3EB930D9"/>
    <w:rsid w:val="3EC06160"/>
    <w:rsid w:val="3EC30FC8"/>
    <w:rsid w:val="3ECD00D9"/>
    <w:rsid w:val="3ED00553"/>
    <w:rsid w:val="3EDB3695"/>
    <w:rsid w:val="3EE447D9"/>
    <w:rsid w:val="3EE46FDA"/>
    <w:rsid w:val="3EEB379C"/>
    <w:rsid w:val="3EF53B54"/>
    <w:rsid w:val="3F004C3C"/>
    <w:rsid w:val="3F045742"/>
    <w:rsid w:val="3F0861F4"/>
    <w:rsid w:val="3F0B24A6"/>
    <w:rsid w:val="3F10615A"/>
    <w:rsid w:val="3F17659C"/>
    <w:rsid w:val="3F1D3E3E"/>
    <w:rsid w:val="3F2F34BD"/>
    <w:rsid w:val="3F443A57"/>
    <w:rsid w:val="3F4776A8"/>
    <w:rsid w:val="3F4A400C"/>
    <w:rsid w:val="3F4E463C"/>
    <w:rsid w:val="3F5253DA"/>
    <w:rsid w:val="3F647550"/>
    <w:rsid w:val="3F65090D"/>
    <w:rsid w:val="3F6B7C58"/>
    <w:rsid w:val="3F7E5B85"/>
    <w:rsid w:val="3FB47BF7"/>
    <w:rsid w:val="3FC44522"/>
    <w:rsid w:val="3FD07230"/>
    <w:rsid w:val="3FDC566C"/>
    <w:rsid w:val="3FDE51FB"/>
    <w:rsid w:val="3FE85081"/>
    <w:rsid w:val="3FEB7211"/>
    <w:rsid w:val="3FFC5748"/>
    <w:rsid w:val="3FFC5BFF"/>
    <w:rsid w:val="400316B7"/>
    <w:rsid w:val="40125125"/>
    <w:rsid w:val="401625F8"/>
    <w:rsid w:val="402655B9"/>
    <w:rsid w:val="402A2618"/>
    <w:rsid w:val="402A5949"/>
    <w:rsid w:val="402B6464"/>
    <w:rsid w:val="40344C1B"/>
    <w:rsid w:val="40356A49"/>
    <w:rsid w:val="40382B73"/>
    <w:rsid w:val="40414304"/>
    <w:rsid w:val="40451A68"/>
    <w:rsid w:val="404850BB"/>
    <w:rsid w:val="40496FA6"/>
    <w:rsid w:val="404F38C6"/>
    <w:rsid w:val="40502E8F"/>
    <w:rsid w:val="4070156E"/>
    <w:rsid w:val="407133F6"/>
    <w:rsid w:val="407E2FCC"/>
    <w:rsid w:val="408E6EE1"/>
    <w:rsid w:val="408F5783"/>
    <w:rsid w:val="40943B0E"/>
    <w:rsid w:val="40981132"/>
    <w:rsid w:val="40A40DBA"/>
    <w:rsid w:val="40AA756D"/>
    <w:rsid w:val="40AE4CE2"/>
    <w:rsid w:val="40B47C29"/>
    <w:rsid w:val="40B955F6"/>
    <w:rsid w:val="40C74AA5"/>
    <w:rsid w:val="40D137C2"/>
    <w:rsid w:val="40D576CD"/>
    <w:rsid w:val="40D934B8"/>
    <w:rsid w:val="40DF2093"/>
    <w:rsid w:val="40E377B2"/>
    <w:rsid w:val="40F7156A"/>
    <w:rsid w:val="40FC289C"/>
    <w:rsid w:val="41047DA0"/>
    <w:rsid w:val="410D3CDF"/>
    <w:rsid w:val="411F6422"/>
    <w:rsid w:val="41280CE0"/>
    <w:rsid w:val="412C1B0B"/>
    <w:rsid w:val="412F4C89"/>
    <w:rsid w:val="41330662"/>
    <w:rsid w:val="4133182C"/>
    <w:rsid w:val="41356551"/>
    <w:rsid w:val="413913BC"/>
    <w:rsid w:val="41491007"/>
    <w:rsid w:val="414C5FCB"/>
    <w:rsid w:val="41577E40"/>
    <w:rsid w:val="41604E84"/>
    <w:rsid w:val="41622002"/>
    <w:rsid w:val="41694519"/>
    <w:rsid w:val="41707034"/>
    <w:rsid w:val="4182373D"/>
    <w:rsid w:val="41900ED3"/>
    <w:rsid w:val="41905D40"/>
    <w:rsid w:val="4192641B"/>
    <w:rsid w:val="41A83080"/>
    <w:rsid w:val="41A9513C"/>
    <w:rsid w:val="41A95EC6"/>
    <w:rsid w:val="41B449E5"/>
    <w:rsid w:val="41BD39EC"/>
    <w:rsid w:val="41C0537B"/>
    <w:rsid w:val="41CA1A18"/>
    <w:rsid w:val="41CE4BCB"/>
    <w:rsid w:val="41CF2295"/>
    <w:rsid w:val="41DE68B3"/>
    <w:rsid w:val="41EC1017"/>
    <w:rsid w:val="41EE3C52"/>
    <w:rsid w:val="41FB7DBB"/>
    <w:rsid w:val="42000C7F"/>
    <w:rsid w:val="42082022"/>
    <w:rsid w:val="42112281"/>
    <w:rsid w:val="42207F79"/>
    <w:rsid w:val="42251526"/>
    <w:rsid w:val="422B6E03"/>
    <w:rsid w:val="42337B76"/>
    <w:rsid w:val="42392A38"/>
    <w:rsid w:val="423E5073"/>
    <w:rsid w:val="4240427D"/>
    <w:rsid w:val="424313D0"/>
    <w:rsid w:val="42483470"/>
    <w:rsid w:val="424F3CCE"/>
    <w:rsid w:val="42501982"/>
    <w:rsid w:val="425A52F0"/>
    <w:rsid w:val="425B5366"/>
    <w:rsid w:val="42696789"/>
    <w:rsid w:val="426C5355"/>
    <w:rsid w:val="428138CA"/>
    <w:rsid w:val="428276A1"/>
    <w:rsid w:val="42836925"/>
    <w:rsid w:val="428477DD"/>
    <w:rsid w:val="42893CDA"/>
    <w:rsid w:val="42897E0E"/>
    <w:rsid w:val="428F5901"/>
    <w:rsid w:val="429612AD"/>
    <w:rsid w:val="42975A64"/>
    <w:rsid w:val="42BB1E4A"/>
    <w:rsid w:val="42C253A4"/>
    <w:rsid w:val="42C2604E"/>
    <w:rsid w:val="42C44EAA"/>
    <w:rsid w:val="42C46D97"/>
    <w:rsid w:val="42D13050"/>
    <w:rsid w:val="42D22E87"/>
    <w:rsid w:val="42D6486D"/>
    <w:rsid w:val="42D8024D"/>
    <w:rsid w:val="42E450E7"/>
    <w:rsid w:val="43090AEE"/>
    <w:rsid w:val="430B35A1"/>
    <w:rsid w:val="431454FA"/>
    <w:rsid w:val="431B33A9"/>
    <w:rsid w:val="431F04DD"/>
    <w:rsid w:val="432A4F24"/>
    <w:rsid w:val="4348533D"/>
    <w:rsid w:val="434978BB"/>
    <w:rsid w:val="434C3A89"/>
    <w:rsid w:val="43527547"/>
    <w:rsid w:val="435842F5"/>
    <w:rsid w:val="435A7B21"/>
    <w:rsid w:val="43604E9D"/>
    <w:rsid w:val="43611EB5"/>
    <w:rsid w:val="436D6062"/>
    <w:rsid w:val="437528A1"/>
    <w:rsid w:val="43774969"/>
    <w:rsid w:val="437947A0"/>
    <w:rsid w:val="437A770B"/>
    <w:rsid w:val="43804614"/>
    <w:rsid w:val="438865E5"/>
    <w:rsid w:val="438E69EE"/>
    <w:rsid w:val="439D4F95"/>
    <w:rsid w:val="43B2617A"/>
    <w:rsid w:val="43B5180A"/>
    <w:rsid w:val="43B52120"/>
    <w:rsid w:val="43B71586"/>
    <w:rsid w:val="43B86419"/>
    <w:rsid w:val="43BD6711"/>
    <w:rsid w:val="43BE6B51"/>
    <w:rsid w:val="43D11D5D"/>
    <w:rsid w:val="43D93FD0"/>
    <w:rsid w:val="43DE12C9"/>
    <w:rsid w:val="43E266C7"/>
    <w:rsid w:val="43E70A47"/>
    <w:rsid w:val="43F750DB"/>
    <w:rsid w:val="43FC0475"/>
    <w:rsid w:val="44037879"/>
    <w:rsid w:val="44073BCD"/>
    <w:rsid w:val="440A1C05"/>
    <w:rsid w:val="4413683D"/>
    <w:rsid w:val="44177EBB"/>
    <w:rsid w:val="4421144D"/>
    <w:rsid w:val="442C3E6D"/>
    <w:rsid w:val="443B0560"/>
    <w:rsid w:val="443D7F09"/>
    <w:rsid w:val="44402666"/>
    <w:rsid w:val="4444605C"/>
    <w:rsid w:val="445D3AD3"/>
    <w:rsid w:val="44613B64"/>
    <w:rsid w:val="44694DD2"/>
    <w:rsid w:val="447B4C19"/>
    <w:rsid w:val="44843D36"/>
    <w:rsid w:val="448F6263"/>
    <w:rsid w:val="44914A60"/>
    <w:rsid w:val="44A123CA"/>
    <w:rsid w:val="44A63216"/>
    <w:rsid w:val="44A81A89"/>
    <w:rsid w:val="44A85B81"/>
    <w:rsid w:val="44B152B3"/>
    <w:rsid w:val="44B374F8"/>
    <w:rsid w:val="44BC596A"/>
    <w:rsid w:val="44C060B1"/>
    <w:rsid w:val="44D108B0"/>
    <w:rsid w:val="44D24DE6"/>
    <w:rsid w:val="44D90000"/>
    <w:rsid w:val="44E21BF5"/>
    <w:rsid w:val="44E54D91"/>
    <w:rsid w:val="44E55910"/>
    <w:rsid w:val="44EF4ECB"/>
    <w:rsid w:val="44F026C7"/>
    <w:rsid w:val="44F47047"/>
    <w:rsid w:val="44FE5D8E"/>
    <w:rsid w:val="4512626F"/>
    <w:rsid w:val="45147990"/>
    <w:rsid w:val="451520D9"/>
    <w:rsid w:val="451F36B6"/>
    <w:rsid w:val="45343C67"/>
    <w:rsid w:val="454A196F"/>
    <w:rsid w:val="455925D9"/>
    <w:rsid w:val="455D5813"/>
    <w:rsid w:val="455E05B9"/>
    <w:rsid w:val="458678F1"/>
    <w:rsid w:val="459B0123"/>
    <w:rsid w:val="45AA1289"/>
    <w:rsid w:val="45C71B97"/>
    <w:rsid w:val="45D23C67"/>
    <w:rsid w:val="45D551E4"/>
    <w:rsid w:val="45F27669"/>
    <w:rsid w:val="45F41E22"/>
    <w:rsid w:val="45F64E0A"/>
    <w:rsid w:val="45FA2D45"/>
    <w:rsid w:val="460B6F72"/>
    <w:rsid w:val="46105F41"/>
    <w:rsid w:val="46174F94"/>
    <w:rsid w:val="461C5C17"/>
    <w:rsid w:val="461C7499"/>
    <w:rsid w:val="46324EAA"/>
    <w:rsid w:val="463B07B7"/>
    <w:rsid w:val="46485F05"/>
    <w:rsid w:val="46555BEA"/>
    <w:rsid w:val="4664592F"/>
    <w:rsid w:val="466D631E"/>
    <w:rsid w:val="46855250"/>
    <w:rsid w:val="468C561F"/>
    <w:rsid w:val="469024CA"/>
    <w:rsid w:val="469B3018"/>
    <w:rsid w:val="46D3680D"/>
    <w:rsid w:val="46D52E49"/>
    <w:rsid w:val="46D70CE1"/>
    <w:rsid w:val="46ED369B"/>
    <w:rsid w:val="46EE37F6"/>
    <w:rsid w:val="46EF28D8"/>
    <w:rsid w:val="47000082"/>
    <w:rsid w:val="470C4525"/>
    <w:rsid w:val="47263BF7"/>
    <w:rsid w:val="47275947"/>
    <w:rsid w:val="47303184"/>
    <w:rsid w:val="473321E9"/>
    <w:rsid w:val="47381EC5"/>
    <w:rsid w:val="4739716F"/>
    <w:rsid w:val="474B5D66"/>
    <w:rsid w:val="474D744D"/>
    <w:rsid w:val="47617324"/>
    <w:rsid w:val="476C0675"/>
    <w:rsid w:val="47783EFE"/>
    <w:rsid w:val="4783289C"/>
    <w:rsid w:val="47A40DC8"/>
    <w:rsid w:val="47A973A3"/>
    <w:rsid w:val="47B54CEA"/>
    <w:rsid w:val="47B81395"/>
    <w:rsid w:val="47BC74A8"/>
    <w:rsid w:val="47C620D9"/>
    <w:rsid w:val="47CD1F9B"/>
    <w:rsid w:val="47D61487"/>
    <w:rsid w:val="47DC2D32"/>
    <w:rsid w:val="47FD04BA"/>
    <w:rsid w:val="47FE019D"/>
    <w:rsid w:val="480C392C"/>
    <w:rsid w:val="48157A1E"/>
    <w:rsid w:val="481B7078"/>
    <w:rsid w:val="482230A1"/>
    <w:rsid w:val="48280DAF"/>
    <w:rsid w:val="48315FB4"/>
    <w:rsid w:val="484B0036"/>
    <w:rsid w:val="48513100"/>
    <w:rsid w:val="487D1744"/>
    <w:rsid w:val="488A3BA2"/>
    <w:rsid w:val="48A572A1"/>
    <w:rsid w:val="48B31E17"/>
    <w:rsid w:val="48BC390A"/>
    <w:rsid w:val="48BE77FE"/>
    <w:rsid w:val="48C02024"/>
    <w:rsid w:val="48C105EE"/>
    <w:rsid w:val="48CE5BA2"/>
    <w:rsid w:val="48D0351E"/>
    <w:rsid w:val="48DC6B8B"/>
    <w:rsid w:val="48FC2CAB"/>
    <w:rsid w:val="490B2728"/>
    <w:rsid w:val="49172E2E"/>
    <w:rsid w:val="49184A9A"/>
    <w:rsid w:val="4918548B"/>
    <w:rsid w:val="491A3F2C"/>
    <w:rsid w:val="49296F79"/>
    <w:rsid w:val="492B6B30"/>
    <w:rsid w:val="493B5923"/>
    <w:rsid w:val="49511B37"/>
    <w:rsid w:val="49537637"/>
    <w:rsid w:val="49561D36"/>
    <w:rsid w:val="495B191F"/>
    <w:rsid w:val="495E5E39"/>
    <w:rsid w:val="496A5D32"/>
    <w:rsid w:val="49724E6E"/>
    <w:rsid w:val="498531C7"/>
    <w:rsid w:val="499056D9"/>
    <w:rsid w:val="49A149E3"/>
    <w:rsid w:val="49A83C51"/>
    <w:rsid w:val="49B07034"/>
    <w:rsid w:val="49B267D4"/>
    <w:rsid w:val="49B275A4"/>
    <w:rsid w:val="49B6620E"/>
    <w:rsid w:val="49B75740"/>
    <w:rsid w:val="49C05A8C"/>
    <w:rsid w:val="49C32531"/>
    <w:rsid w:val="49C80888"/>
    <w:rsid w:val="49CB1A54"/>
    <w:rsid w:val="49E318DF"/>
    <w:rsid w:val="49ED3FA3"/>
    <w:rsid w:val="49FB07E3"/>
    <w:rsid w:val="49FD13F9"/>
    <w:rsid w:val="49FD6E8E"/>
    <w:rsid w:val="4A152DA8"/>
    <w:rsid w:val="4A1858D6"/>
    <w:rsid w:val="4A1C1288"/>
    <w:rsid w:val="4A1F7C40"/>
    <w:rsid w:val="4A245DE4"/>
    <w:rsid w:val="4A286C40"/>
    <w:rsid w:val="4A30046D"/>
    <w:rsid w:val="4A3B08D0"/>
    <w:rsid w:val="4A3D5EDD"/>
    <w:rsid w:val="4A420291"/>
    <w:rsid w:val="4A505C16"/>
    <w:rsid w:val="4A5920F8"/>
    <w:rsid w:val="4A5974FB"/>
    <w:rsid w:val="4A61532A"/>
    <w:rsid w:val="4A68397A"/>
    <w:rsid w:val="4A6F354D"/>
    <w:rsid w:val="4A70423E"/>
    <w:rsid w:val="4A7A058F"/>
    <w:rsid w:val="4A7F0048"/>
    <w:rsid w:val="4A83391D"/>
    <w:rsid w:val="4A8450B2"/>
    <w:rsid w:val="4A8F3CEC"/>
    <w:rsid w:val="4A966C85"/>
    <w:rsid w:val="4A9C5719"/>
    <w:rsid w:val="4A9D7E49"/>
    <w:rsid w:val="4AAA6F64"/>
    <w:rsid w:val="4AAF4383"/>
    <w:rsid w:val="4ABA6DE4"/>
    <w:rsid w:val="4AC01DF8"/>
    <w:rsid w:val="4AC502EF"/>
    <w:rsid w:val="4ACE37C2"/>
    <w:rsid w:val="4AD17E64"/>
    <w:rsid w:val="4AD45EEB"/>
    <w:rsid w:val="4AD70435"/>
    <w:rsid w:val="4AD72480"/>
    <w:rsid w:val="4ADA09B8"/>
    <w:rsid w:val="4ADD1478"/>
    <w:rsid w:val="4AEF29C0"/>
    <w:rsid w:val="4AF10066"/>
    <w:rsid w:val="4AF8176A"/>
    <w:rsid w:val="4AFA315E"/>
    <w:rsid w:val="4B04129A"/>
    <w:rsid w:val="4B10729A"/>
    <w:rsid w:val="4B141B76"/>
    <w:rsid w:val="4B19015C"/>
    <w:rsid w:val="4B365AA1"/>
    <w:rsid w:val="4B464CD1"/>
    <w:rsid w:val="4B7165F5"/>
    <w:rsid w:val="4B737183"/>
    <w:rsid w:val="4B763FF6"/>
    <w:rsid w:val="4B777713"/>
    <w:rsid w:val="4B780F61"/>
    <w:rsid w:val="4B810A85"/>
    <w:rsid w:val="4B866945"/>
    <w:rsid w:val="4B9520F5"/>
    <w:rsid w:val="4B9E11DE"/>
    <w:rsid w:val="4BA03F3D"/>
    <w:rsid w:val="4BAE480D"/>
    <w:rsid w:val="4BBF003C"/>
    <w:rsid w:val="4BBF35DA"/>
    <w:rsid w:val="4BCB5A0B"/>
    <w:rsid w:val="4BDD060A"/>
    <w:rsid w:val="4BDF5C68"/>
    <w:rsid w:val="4BE162B2"/>
    <w:rsid w:val="4BF83860"/>
    <w:rsid w:val="4BFC2A13"/>
    <w:rsid w:val="4BFF512A"/>
    <w:rsid w:val="4C1D0C7E"/>
    <w:rsid w:val="4C254BAA"/>
    <w:rsid w:val="4C2729ED"/>
    <w:rsid w:val="4C286C27"/>
    <w:rsid w:val="4C353BFF"/>
    <w:rsid w:val="4C494FBB"/>
    <w:rsid w:val="4C49560A"/>
    <w:rsid w:val="4C4B5346"/>
    <w:rsid w:val="4C4C3DE6"/>
    <w:rsid w:val="4C5145A6"/>
    <w:rsid w:val="4C574B96"/>
    <w:rsid w:val="4C71434B"/>
    <w:rsid w:val="4C73454B"/>
    <w:rsid w:val="4C790DC7"/>
    <w:rsid w:val="4C7E63AA"/>
    <w:rsid w:val="4CA43806"/>
    <w:rsid w:val="4CBD137A"/>
    <w:rsid w:val="4CBF1D7A"/>
    <w:rsid w:val="4CCB0FD9"/>
    <w:rsid w:val="4CEF2160"/>
    <w:rsid w:val="4CFF1EE1"/>
    <w:rsid w:val="4CFF7ADF"/>
    <w:rsid w:val="4D012CB7"/>
    <w:rsid w:val="4D0949A4"/>
    <w:rsid w:val="4D174555"/>
    <w:rsid w:val="4D2121E0"/>
    <w:rsid w:val="4D27074A"/>
    <w:rsid w:val="4D366B09"/>
    <w:rsid w:val="4D3B5102"/>
    <w:rsid w:val="4D40077D"/>
    <w:rsid w:val="4D4831F7"/>
    <w:rsid w:val="4D4D232C"/>
    <w:rsid w:val="4D587B68"/>
    <w:rsid w:val="4D684845"/>
    <w:rsid w:val="4D80722F"/>
    <w:rsid w:val="4D8963E3"/>
    <w:rsid w:val="4D8F1E60"/>
    <w:rsid w:val="4D92351E"/>
    <w:rsid w:val="4DA14596"/>
    <w:rsid w:val="4DB24422"/>
    <w:rsid w:val="4DBA1DBB"/>
    <w:rsid w:val="4DC02186"/>
    <w:rsid w:val="4DCA3301"/>
    <w:rsid w:val="4DCD7E8A"/>
    <w:rsid w:val="4DD861A6"/>
    <w:rsid w:val="4DE342D0"/>
    <w:rsid w:val="4DE41C55"/>
    <w:rsid w:val="4DE44E5A"/>
    <w:rsid w:val="4DE558D1"/>
    <w:rsid w:val="4DF31F72"/>
    <w:rsid w:val="4E021913"/>
    <w:rsid w:val="4E1226CB"/>
    <w:rsid w:val="4E225A57"/>
    <w:rsid w:val="4E2C49D7"/>
    <w:rsid w:val="4E380B98"/>
    <w:rsid w:val="4E3966E8"/>
    <w:rsid w:val="4E3C7AFD"/>
    <w:rsid w:val="4E4D49EF"/>
    <w:rsid w:val="4E55148B"/>
    <w:rsid w:val="4E5E0297"/>
    <w:rsid w:val="4E5F2FE4"/>
    <w:rsid w:val="4E7C0721"/>
    <w:rsid w:val="4E7C3259"/>
    <w:rsid w:val="4E7D14BA"/>
    <w:rsid w:val="4E820846"/>
    <w:rsid w:val="4E837EB5"/>
    <w:rsid w:val="4E850E23"/>
    <w:rsid w:val="4E863B70"/>
    <w:rsid w:val="4E9527D1"/>
    <w:rsid w:val="4E9E49F1"/>
    <w:rsid w:val="4EA2312A"/>
    <w:rsid w:val="4EAB188F"/>
    <w:rsid w:val="4EAD1067"/>
    <w:rsid w:val="4EBF7A2C"/>
    <w:rsid w:val="4EC30E45"/>
    <w:rsid w:val="4EC72033"/>
    <w:rsid w:val="4ED13FBC"/>
    <w:rsid w:val="4ED41B9C"/>
    <w:rsid w:val="4EEA2EC3"/>
    <w:rsid w:val="4EF04F8E"/>
    <w:rsid w:val="4EFA1EA2"/>
    <w:rsid w:val="4F023D61"/>
    <w:rsid w:val="4F125B2E"/>
    <w:rsid w:val="4F1C5D7A"/>
    <w:rsid w:val="4F1F570C"/>
    <w:rsid w:val="4F305D8B"/>
    <w:rsid w:val="4F321FA9"/>
    <w:rsid w:val="4F360AAD"/>
    <w:rsid w:val="4F37694C"/>
    <w:rsid w:val="4F3E725D"/>
    <w:rsid w:val="4F4C11BB"/>
    <w:rsid w:val="4F4E649E"/>
    <w:rsid w:val="4F5D02E3"/>
    <w:rsid w:val="4F5D0394"/>
    <w:rsid w:val="4F5D27A1"/>
    <w:rsid w:val="4F646314"/>
    <w:rsid w:val="4F6B2FC9"/>
    <w:rsid w:val="4F6D32D5"/>
    <w:rsid w:val="4F6F626B"/>
    <w:rsid w:val="4F79401C"/>
    <w:rsid w:val="4F7D64BF"/>
    <w:rsid w:val="4F861B66"/>
    <w:rsid w:val="4F940168"/>
    <w:rsid w:val="4F96220A"/>
    <w:rsid w:val="4F975EA7"/>
    <w:rsid w:val="4F993B22"/>
    <w:rsid w:val="4F9B4E17"/>
    <w:rsid w:val="4F9E0687"/>
    <w:rsid w:val="4FB14A4E"/>
    <w:rsid w:val="4FB25475"/>
    <w:rsid w:val="4FB26430"/>
    <w:rsid w:val="4FB742C2"/>
    <w:rsid w:val="4FBC6A68"/>
    <w:rsid w:val="4FBF59E5"/>
    <w:rsid w:val="4FC25D25"/>
    <w:rsid w:val="4FC93F6E"/>
    <w:rsid w:val="4FE47D42"/>
    <w:rsid w:val="4FE9225A"/>
    <w:rsid w:val="4FEF563B"/>
    <w:rsid w:val="4FF57F46"/>
    <w:rsid w:val="4FFD14AD"/>
    <w:rsid w:val="50030898"/>
    <w:rsid w:val="50203A3E"/>
    <w:rsid w:val="50380BAA"/>
    <w:rsid w:val="503B097A"/>
    <w:rsid w:val="503F58DA"/>
    <w:rsid w:val="5043294E"/>
    <w:rsid w:val="50497F86"/>
    <w:rsid w:val="50565EB0"/>
    <w:rsid w:val="50585B9C"/>
    <w:rsid w:val="505C1FE3"/>
    <w:rsid w:val="505D7A00"/>
    <w:rsid w:val="50600B62"/>
    <w:rsid w:val="506C28C3"/>
    <w:rsid w:val="506F110C"/>
    <w:rsid w:val="507015E4"/>
    <w:rsid w:val="50847AF5"/>
    <w:rsid w:val="508513C5"/>
    <w:rsid w:val="508965F4"/>
    <w:rsid w:val="508B4F1F"/>
    <w:rsid w:val="508E08FB"/>
    <w:rsid w:val="508E7B0F"/>
    <w:rsid w:val="50A77BA9"/>
    <w:rsid w:val="50B76E82"/>
    <w:rsid w:val="50C20F63"/>
    <w:rsid w:val="50CD1E4A"/>
    <w:rsid w:val="50D758C9"/>
    <w:rsid w:val="50E20EAA"/>
    <w:rsid w:val="50EA0E95"/>
    <w:rsid w:val="50F77440"/>
    <w:rsid w:val="50FB14BD"/>
    <w:rsid w:val="50FD1626"/>
    <w:rsid w:val="51011508"/>
    <w:rsid w:val="510524A9"/>
    <w:rsid w:val="51191665"/>
    <w:rsid w:val="5123746D"/>
    <w:rsid w:val="51294B24"/>
    <w:rsid w:val="512A7E2E"/>
    <w:rsid w:val="513E0638"/>
    <w:rsid w:val="515141DA"/>
    <w:rsid w:val="51555AB6"/>
    <w:rsid w:val="515B40FE"/>
    <w:rsid w:val="5167141C"/>
    <w:rsid w:val="51716E0C"/>
    <w:rsid w:val="51721C50"/>
    <w:rsid w:val="51793392"/>
    <w:rsid w:val="51795A95"/>
    <w:rsid w:val="51833015"/>
    <w:rsid w:val="51912388"/>
    <w:rsid w:val="5192347C"/>
    <w:rsid w:val="519C3863"/>
    <w:rsid w:val="519D68E0"/>
    <w:rsid w:val="519E3DB7"/>
    <w:rsid w:val="51B26291"/>
    <w:rsid w:val="51C21AB6"/>
    <w:rsid w:val="51C52E03"/>
    <w:rsid w:val="51CE5BAE"/>
    <w:rsid w:val="51CF5D56"/>
    <w:rsid w:val="51D645A7"/>
    <w:rsid w:val="51D6762A"/>
    <w:rsid w:val="51DB68CA"/>
    <w:rsid w:val="51E27630"/>
    <w:rsid w:val="51E77729"/>
    <w:rsid w:val="51F071C9"/>
    <w:rsid w:val="520A6FE3"/>
    <w:rsid w:val="52161EC5"/>
    <w:rsid w:val="52217FFF"/>
    <w:rsid w:val="522466F0"/>
    <w:rsid w:val="52251B29"/>
    <w:rsid w:val="52283A89"/>
    <w:rsid w:val="523D47FC"/>
    <w:rsid w:val="52424209"/>
    <w:rsid w:val="524F52FD"/>
    <w:rsid w:val="525430EA"/>
    <w:rsid w:val="525C7958"/>
    <w:rsid w:val="52600FE0"/>
    <w:rsid w:val="52654115"/>
    <w:rsid w:val="526B3764"/>
    <w:rsid w:val="527119ED"/>
    <w:rsid w:val="527C3B96"/>
    <w:rsid w:val="528069E4"/>
    <w:rsid w:val="52961ED0"/>
    <w:rsid w:val="52A63726"/>
    <w:rsid w:val="52A91049"/>
    <w:rsid w:val="52B95C13"/>
    <w:rsid w:val="52BA3B20"/>
    <w:rsid w:val="52BA592F"/>
    <w:rsid w:val="52BD4DBF"/>
    <w:rsid w:val="52C37A79"/>
    <w:rsid w:val="52CE14AD"/>
    <w:rsid w:val="52CF0135"/>
    <w:rsid w:val="52D22768"/>
    <w:rsid w:val="52D52988"/>
    <w:rsid w:val="52D6121F"/>
    <w:rsid w:val="52EA78FB"/>
    <w:rsid w:val="52F531CB"/>
    <w:rsid w:val="53063D1A"/>
    <w:rsid w:val="53121C16"/>
    <w:rsid w:val="531A3535"/>
    <w:rsid w:val="531C5C74"/>
    <w:rsid w:val="53286070"/>
    <w:rsid w:val="532D49C3"/>
    <w:rsid w:val="53312682"/>
    <w:rsid w:val="53322F44"/>
    <w:rsid w:val="534408FD"/>
    <w:rsid w:val="534736A5"/>
    <w:rsid w:val="534E7233"/>
    <w:rsid w:val="5351284F"/>
    <w:rsid w:val="53536DD9"/>
    <w:rsid w:val="53610D24"/>
    <w:rsid w:val="536A47EB"/>
    <w:rsid w:val="53762A80"/>
    <w:rsid w:val="53870CB1"/>
    <w:rsid w:val="53AA3F7A"/>
    <w:rsid w:val="53B73D8A"/>
    <w:rsid w:val="53BB6B5B"/>
    <w:rsid w:val="53C433E9"/>
    <w:rsid w:val="53C506F4"/>
    <w:rsid w:val="53C86B07"/>
    <w:rsid w:val="53CE5359"/>
    <w:rsid w:val="53DF1E22"/>
    <w:rsid w:val="53DF479E"/>
    <w:rsid w:val="53E8174C"/>
    <w:rsid w:val="53EC1145"/>
    <w:rsid w:val="54004DB7"/>
    <w:rsid w:val="54082F84"/>
    <w:rsid w:val="540D6104"/>
    <w:rsid w:val="54134240"/>
    <w:rsid w:val="541C1E57"/>
    <w:rsid w:val="54291DB1"/>
    <w:rsid w:val="542C0336"/>
    <w:rsid w:val="544955EE"/>
    <w:rsid w:val="54553666"/>
    <w:rsid w:val="54557F25"/>
    <w:rsid w:val="545918AF"/>
    <w:rsid w:val="545D3314"/>
    <w:rsid w:val="5463310F"/>
    <w:rsid w:val="54654142"/>
    <w:rsid w:val="54697BD1"/>
    <w:rsid w:val="546B613E"/>
    <w:rsid w:val="547647AE"/>
    <w:rsid w:val="547F07ED"/>
    <w:rsid w:val="548433C6"/>
    <w:rsid w:val="54A03383"/>
    <w:rsid w:val="54CA2EB6"/>
    <w:rsid w:val="54DD5ED2"/>
    <w:rsid w:val="54DF4829"/>
    <w:rsid w:val="54DF5480"/>
    <w:rsid w:val="54F878F7"/>
    <w:rsid w:val="54FF541C"/>
    <w:rsid w:val="550A3F45"/>
    <w:rsid w:val="551013DC"/>
    <w:rsid w:val="55107271"/>
    <w:rsid w:val="5514616E"/>
    <w:rsid w:val="551471E9"/>
    <w:rsid w:val="551925EF"/>
    <w:rsid w:val="551F4962"/>
    <w:rsid w:val="5530736E"/>
    <w:rsid w:val="55382637"/>
    <w:rsid w:val="55553D7A"/>
    <w:rsid w:val="55605853"/>
    <w:rsid w:val="556150FF"/>
    <w:rsid w:val="55705BE5"/>
    <w:rsid w:val="5571022E"/>
    <w:rsid w:val="557B66D3"/>
    <w:rsid w:val="55B3553C"/>
    <w:rsid w:val="55B86615"/>
    <w:rsid w:val="55BD273E"/>
    <w:rsid w:val="55BF195C"/>
    <w:rsid w:val="55D27172"/>
    <w:rsid w:val="55D27907"/>
    <w:rsid w:val="55D34512"/>
    <w:rsid w:val="55D5471E"/>
    <w:rsid w:val="55E3050A"/>
    <w:rsid w:val="55E65324"/>
    <w:rsid w:val="55F61AAF"/>
    <w:rsid w:val="55F9220D"/>
    <w:rsid w:val="560822A9"/>
    <w:rsid w:val="56103C7D"/>
    <w:rsid w:val="561B3456"/>
    <w:rsid w:val="561F5423"/>
    <w:rsid w:val="56267940"/>
    <w:rsid w:val="56414747"/>
    <w:rsid w:val="564F0209"/>
    <w:rsid w:val="567671BB"/>
    <w:rsid w:val="56852644"/>
    <w:rsid w:val="56891682"/>
    <w:rsid w:val="56A11AE9"/>
    <w:rsid w:val="56A63AED"/>
    <w:rsid w:val="56B12643"/>
    <w:rsid w:val="56B16DE9"/>
    <w:rsid w:val="56BB7CE6"/>
    <w:rsid w:val="56C5517F"/>
    <w:rsid w:val="56D3425A"/>
    <w:rsid w:val="56DB3D58"/>
    <w:rsid w:val="56EE30A8"/>
    <w:rsid w:val="56FB1C53"/>
    <w:rsid w:val="56FB6CFE"/>
    <w:rsid w:val="56FF7DAC"/>
    <w:rsid w:val="570E4AE1"/>
    <w:rsid w:val="5714720F"/>
    <w:rsid w:val="57185F6C"/>
    <w:rsid w:val="571C52C4"/>
    <w:rsid w:val="57251505"/>
    <w:rsid w:val="572720E8"/>
    <w:rsid w:val="572F04FB"/>
    <w:rsid w:val="57365FB9"/>
    <w:rsid w:val="57482FCF"/>
    <w:rsid w:val="574D279E"/>
    <w:rsid w:val="57503774"/>
    <w:rsid w:val="575660F1"/>
    <w:rsid w:val="57571844"/>
    <w:rsid w:val="57794DB0"/>
    <w:rsid w:val="577F06F8"/>
    <w:rsid w:val="577F4CB5"/>
    <w:rsid w:val="5780691C"/>
    <w:rsid w:val="57830E2D"/>
    <w:rsid w:val="57916B78"/>
    <w:rsid w:val="579202B6"/>
    <w:rsid w:val="5798208B"/>
    <w:rsid w:val="579C3BC2"/>
    <w:rsid w:val="579E01C6"/>
    <w:rsid w:val="57A77049"/>
    <w:rsid w:val="57B059F1"/>
    <w:rsid w:val="57B368F4"/>
    <w:rsid w:val="57B9177A"/>
    <w:rsid w:val="57BA4C63"/>
    <w:rsid w:val="57BA6FCF"/>
    <w:rsid w:val="57BC3405"/>
    <w:rsid w:val="57D070C3"/>
    <w:rsid w:val="57D07655"/>
    <w:rsid w:val="57D82B9E"/>
    <w:rsid w:val="57DC6FA8"/>
    <w:rsid w:val="57E16BEE"/>
    <w:rsid w:val="57E55797"/>
    <w:rsid w:val="57F12076"/>
    <w:rsid w:val="57F13A51"/>
    <w:rsid w:val="57F46B35"/>
    <w:rsid w:val="58024D1A"/>
    <w:rsid w:val="580561D8"/>
    <w:rsid w:val="58070F03"/>
    <w:rsid w:val="580B2B58"/>
    <w:rsid w:val="580C7045"/>
    <w:rsid w:val="58117276"/>
    <w:rsid w:val="58134E48"/>
    <w:rsid w:val="5821541B"/>
    <w:rsid w:val="58230512"/>
    <w:rsid w:val="58316F83"/>
    <w:rsid w:val="583211EB"/>
    <w:rsid w:val="58396F0D"/>
    <w:rsid w:val="583C1EEF"/>
    <w:rsid w:val="58412E87"/>
    <w:rsid w:val="584A6326"/>
    <w:rsid w:val="58505065"/>
    <w:rsid w:val="586662AF"/>
    <w:rsid w:val="58696A3E"/>
    <w:rsid w:val="586D3105"/>
    <w:rsid w:val="586F52DC"/>
    <w:rsid w:val="58737BB9"/>
    <w:rsid w:val="58822244"/>
    <w:rsid w:val="58977FF3"/>
    <w:rsid w:val="589E6BB5"/>
    <w:rsid w:val="589E789C"/>
    <w:rsid w:val="58A149FE"/>
    <w:rsid w:val="58A64526"/>
    <w:rsid w:val="58B16D79"/>
    <w:rsid w:val="58B2254C"/>
    <w:rsid w:val="58CC5F3A"/>
    <w:rsid w:val="58D614A2"/>
    <w:rsid w:val="58D63C1E"/>
    <w:rsid w:val="58E327FB"/>
    <w:rsid w:val="58EA4233"/>
    <w:rsid w:val="58EB2796"/>
    <w:rsid w:val="59042073"/>
    <w:rsid w:val="590C3239"/>
    <w:rsid w:val="59171E9E"/>
    <w:rsid w:val="591B004A"/>
    <w:rsid w:val="591E018F"/>
    <w:rsid w:val="5925010A"/>
    <w:rsid w:val="592776CC"/>
    <w:rsid w:val="592A385B"/>
    <w:rsid w:val="593D3138"/>
    <w:rsid w:val="59414175"/>
    <w:rsid w:val="594730BE"/>
    <w:rsid w:val="59734D01"/>
    <w:rsid w:val="597A27B1"/>
    <w:rsid w:val="598922AE"/>
    <w:rsid w:val="598D3615"/>
    <w:rsid w:val="59935A40"/>
    <w:rsid w:val="599C7CF9"/>
    <w:rsid w:val="59A3077C"/>
    <w:rsid w:val="59A46663"/>
    <w:rsid w:val="59A61CB6"/>
    <w:rsid w:val="59BA4BE6"/>
    <w:rsid w:val="59C6108B"/>
    <w:rsid w:val="59D050DC"/>
    <w:rsid w:val="59D26F3E"/>
    <w:rsid w:val="59D272E9"/>
    <w:rsid w:val="59D92970"/>
    <w:rsid w:val="59FB0EE2"/>
    <w:rsid w:val="59FC3562"/>
    <w:rsid w:val="5A074878"/>
    <w:rsid w:val="5A1A0B41"/>
    <w:rsid w:val="5A272FC3"/>
    <w:rsid w:val="5A300BC6"/>
    <w:rsid w:val="5A3031A8"/>
    <w:rsid w:val="5A3B717E"/>
    <w:rsid w:val="5A3E0B70"/>
    <w:rsid w:val="5A3F01D8"/>
    <w:rsid w:val="5A43763E"/>
    <w:rsid w:val="5A4B43C3"/>
    <w:rsid w:val="5A7514FB"/>
    <w:rsid w:val="5A7D790D"/>
    <w:rsid w:val="5A817F58"/>
    <w:rsid w:val="5A834B03"/>
    <w:rsid w:val="5A8D1654"/>
    <w:rsid w:val="5A8F2B66"/>
    <w:rsid w:val="5A932113"/>
    <w:rsid w:val="5A9F200D"/>
    <w:rsid w:val="5AA42E3D"/>
    <w:rsid w:val="5AA7628E"/>
    <w:rsid w:val="5AAB2CA1"/>
    <w:rsid w:val="5ACA0868"/>
    <w:rsid w:val="5ACA7104"/>
    <w:rsid w:val="5AD926F0"/>
    <w:rsid w:val="5AEC78A8"/>
    <w:rsid w:val="5AEE1F81"/>
    <w:rsid w:val="5AF6519B"/>
    <w:rsid w:val="5B0F0037"/>
    <w:rsid w:val="5B1A7262"/>
    <w:rsid w:val="5B1D0C8E"/>
    <w:rsid w:val="5B1E1122"/>
    <w:rsid w:val="5B1F0E20"/>
    <w:rsid w:val="5B226942"/>
    <w:rsid w:val="5B2455F3"/>
    <w:rsid w:val="5B283433"/>
    <w:rsid w:val="5B2B3958"/>
    <w:rsid w:val="5B340B7F"/>
    <w:rsid w:val="5B4A09A5"/>
    <w:rsid w:val="5B5462A6"/>
    <w:rsid w:val="5B6E481B"/>
    <w:rsid w:val="5B780142"/>
    <w:rsid w:val="5B947418"/>
    <w:rsid w:val="5B9B5FD2"/>
    <w:rsid w:val="5B9F1A10"/>
    <w:rsid w:val="5BA113CD"/>
    <w:rsid w:val="5BA92885"/>
    <w:rsid w:val="5BAB1B1C"/>
    <w:rsid w:val="5BAB6985"/>
    <w:rsid w:val="5BB221D8"/>
    <w:rsid w:val="5BC255FC"/>
    <w:rsid w:val="5BD42F51"/>
    <w:rsid w:val="5BEF2F0F"/>
    <w:rsid w:val="5BF0179B"/>
    <w:rsid w:val="5BFC685E"/>
    <w:rsid w:val="5BFE258B"/>
    <w:rsid w:val="5C01322D"/>
    <w:rsid w:val="5C0E1B8B"/>
    <w:rsid w:val="5C0E7F57"/>
    <w:rsid w:val="5C1803C9"/>
    <w:rsid w:val="5C1E1032"/>
    <w:rsid w:val="5C1E66E4"/>
    <w:rsid w:val="5C1F7AB9"/>
    <w:rsid w:val="5C211BAE"/>
    <w:rsid w:val="5C217CA0"/>
    <w:rsid w:val="5C376324"/>
    <w:rsid w:val="5C42552D"/>
    <w:rsid w:val="5C4831D4"/>
    <w:rsid w:val="5C6F4387"/>
    <w:rsid w:val="5C756A60"/>
    <w:rsid w:val="5C7572F4"/>
    <w:rsid w:val="5C8B7B31"/>
    <w:rsid w:val="5C9C49EE"/>
    <w:rsid w:val="5C9C64FE"/>
    <w:rsid w:val="5CAD1C27"/>
    <w:rsid w:val="5CAD2C82"/>
    <w:rsid w:val="5CB443CD"/>
    <w:rsid w:val="5CB93C20"/>
    <w:rsid w:val="5CBC6FA0"/>
    <w:rsid w:val="5CBD5713"/>
    <w:rsid w:val="5CBF57BC"/>
    <w:rsid w:val="5CD12349"/>
    <w:rsid w:val="5CE42E2C"/>
    <w:rsid w:val="5CE97D39"/>
    <w:rsid w:val="5CFD7259"/>
    <w:rsid w:val="5D0435FA"/>
    <w:rsid w:val="5D0A4835"/>
    <w:rsid w:val="5D126C5B"/>
    <w:rsid w:val="5D133A8F"/>
    <w:rsid w:val="5D194E02"/>
    <w:rsid w:val="5D2B079F"/>
    <w:rsid w:val="5D342404"/>
    <w:rsid w:val="5D350CD2"/>
    <w:rsid w:val="5D391627"/>
    <w:rsid w:val="5D55063D"/>
    <w:rsid w:val="5D696C45"/>
    <w:rsid w:val="5D6F176B"/>
    <w:rsid w:val="5D8A7645"/>
    <w:rsid w:val="5D8F5EDE"/>
    <w:rsid w:val="5DA07939"/>
    <w:rsid w:val="5DAD2939"/>
    <w:rsid w:val="5DAE7797"/>
    <w:rsid w:val="5DB443F1"/>
    <w:rsid w:val="5DB54DF4"/>
    <w:rsid w:val="5DD24F22"/>
    <w:rsid w:val="5DD3039F"/>
    <w:rsid w:val="5DDA5774"/>
    <w:rsid w:val="5DDB7E1D"/>
    <w:rsid w:val="5DE01D37"/>
    <w:rsid w:val="5DF06044"/>
    <w:rsid w:val="5DF25451"/>
    <w:rsid w:val="5DF90943"/>
    <w:rsid w:val="5E000016"/>
    <w:rsid w:val="5E140756"/>
    <w:rsid w:val="5E1A3A48"/>
    <w:rsid w:val="5E24095C"/>
    <w:rsid w:val="5E2767DE"/>
    <w:rsid w:val="5E2A5A89"/>
    <w:rsid w:val="5E3272F9"/>
    <w:rsid w:val="5E523DCA"/>
    <w:rsid w:val="5E627AE9"/>
    <w:rsid w:val="5E784159"/>
    <w:rsid w:val="5E910EED"/>
    <w:rsid w:val="5E9365D5"/>
    <w:rsid w:val="5E940AB6"/>
    <w:rsid w:val="5E974FFA"/>
    <w:rsid w:val="5EA11369"/>
    <w:rsid w:val="5EA63015"/>
    <w:rsid w:val="5EAB4C05"/>
    <w:rsid w:val="5EB915DE"/>
    <w:rsid w:val="5EC42902"/>
    <w:rsid w:val="5ED55360"/>
    <w:rsid w:val="5F0D5AB3"/>
    <w:rsid w:val="5F0E1C77"/>
    <w:rsid w:val="5F1776F6"/>
    <w:rsid w:val="5F221B12"/>
    <w:rsid w:val="5F2B4E8E"/>
    <w:rsid w:val="5F2E14E1"/>
    <w:rsid w:val="5F3D3D1E"/>
    <w:rsid w:val="5F451427"/>
    <w:rsid w:val="5F4B162D"/>
    <w:rsid w:val="5F4E47E8"/>
    <w:rsid w:val="5F583F7F"/>
    <w:rsid w:val="5F6A6B37"/>
    <w:rsid w:val="5F6B3EA6"/>
    <w:rsid w:val="5F6D3FD9"/>
    <w:rsid w:val="5F7A6CC8"/>
    <w:rsid w:val="5F880172"/>
    <w:rsid w:val="5F983616"/>
    <w:rsid w:val="5F987D06"/>
    <w:rsid w:val="5F9F66D6"/>
    <w:rsid w:val="5FA9584D"/>
    <w:rsid w:val="5FB2792E"/>
    <w:rsid w:val="5FC963C1"/>
    <w:rsid w:val="5FCB7D21"/>
    <w:rsid w:val="5FDC360E"/>
    <w:rsid w:val="5FDF1A3C"/>
    <w:rsid w:val="5FDF3D7D"/>
    <w:rsid w:val="5FF13B67"/>
    <w:rsid w:val="5FFA53EB"/>
    <w:rsid w:val="60036252"/>
    <w:rsid w:val="60073650"/>
    <w:rsid w:val="600D3C1D"/>
    <w:rsid w:val="60136E4E"/>
    <w:rsid w:val="601B4C59"/>
    <w:rsid w:val="601B4E69"/>
    <w:rsid w:val="601E770F"/>
    <w:rsid w:val="6026048B"/>
    <w:rsid w:val="602A5AE4"/>
    <w:rsid w:val="602B214D"/>
    <w:rsid w:val="603553E8"/>
    <w:rsid w:val="60397994"/>
    <w:rsid w:val="605F74FA"/>
    <w:rsid w:val="60656F0B"/>
    <w:rsid w:val="60733987"/>
    <w:rsid w:val="607452EC"/>
    <w:rsid w:val="60776D5A"/>
    <w:rsid w:val="607E0C93"/>
    <w:rsid w:val="609A3898"/>
    <w:rsid w:val="60AC582F"/>
    <w:rsid w:val="60D34489"/>
    <w:rsid w:val="60DB1F5F"/>
    <w:rsid w:val="60DE5DA8"/>
    <w:rsid w:val="60E2738A"/>
    <w:rsid w:val="60E542E2"/>
    <w:rsid w:val="60E7392F"/>
    <w:rsid w:val="61096AD6"/>
    <w:rsid w:val="61126C5B"/>
    <w:rsid w:val="6113142D"/>
    <w:rsid w:val="61194655"/>
    <w:rsid w:val="611A285F"/>
    <w:rsid w:val="612773E6"/>
    <w:rsid w:val="613C4B86"/>
    <w:rsid w:val="6141091C"/>
    <w:rsid w:val="61673452"/>
    <w:rsid w:val="61706EDF"/>
    <w:rsid w:val="618242B1"/>
    <w:rsid w:val="6188712D"/>
    <w:rsid w:val="618E5A99"/>
    <w:rsid w:val="619A646B"/>
    <w:rsid w:val="619B14F0"/>
    <w:rsid w:val="61AD09A0"/>
    <w:rsid w:val="61B267B5"/>
    <w:rsid w:val="61BC3147"/>
    <w:rsid w:val="61BC69AB"/>
    <w:rsid w:val="61C24AA2"/>
    <w:rsid w:val="61D26E6B"/>
    <w:rsid w:val="61D43D58"/>
    <w:rsid w:val="61DF12A6"/>
    <w:rsid w:val="61DF2A58"/>
    <w:rsid w:val="61DF6312"/>
    <w:rsid w:val="61E53B4D"/>
    <w:rsid w:val="61E94456"/>
    <w:rsid w:val="61EF5A8A"/>
    <w:rsid w:val="61F518D2"/>
    <w:rsid w:val="61FA328B"/>
    <w:rsid w:val="620D62BE"/>
    <w:rsid w:val="62191DD3"/>
    <w:rsid w:val="62225EE1"/>
    <w:rsid w:val="62247F2C"/>
    <w:rsid w:val="62267E7E"/>
    <w:rsid w:val="622D5384"/>
    <w:rsid w:val="623C2447"/>
    <w:rsid w:val="623D140E"/>
    <w:rsid w:val="62570FC6"/>
    <w:rsid w:val="62591087"/>
    <w:rsid w:val="62601966"/>
    <w:rsid w:val="62742F44"/>
    <w:rsid w:val="62914E61"/>
    <w:rsid w:val="62934C53"/>
    <w:rsid w:val="62951138"/>
    <w:rsid w:val="62AC7130"/>
    <w:rsid w:val="62AE369C"/>
    <w:rsid w:val="62B279AD"/>
    <w:rsid w:val="62C23504"/>
    <w:rsid w:val="62D1503E"/>
    <w:rsid w:val="62D17BEA"/>
    <w:rsid w:val="62D435E2"/>
    <w:rsid w:val="62D75C0A"/>
    <w:rsid w:val="62DA0E85"/>
    <w:rsid w:val="62E23DFD"/>
    <w:rsid w:val="62E643D8"/>
    <w:rsid w:val="62F263AE"/>
    <w:rsid w:val="63047A1B"/>
    <w:rsid w:val="63196893"/>
    <w:rsid w:val="631A10BB"/>
    <w:rsid w:val="63201CF6"/>
    <w:rsid w:val="632A4C7E"/>
    <w:rsid w:val="634109A6"/>
    <w:rsid w:val="63605CE0"/>
    <w:rsid w:val="636556B3"/>
    <w:rsid w:val="637B3AF1"/>
    <w:rsid w:val="637F5D99"/>
    <w:rsid w:val="63816D76"/>
    <w:rsid w:val="638334F2"/>
    <w:rsid w:val="638441F5"/>
    <w:rsid w:val="638911D2"/>
    <w:rsid w:val="639015D6"/>
    <w:rsid w:val="63901EC2"/>
    <w:rsid w:val="63A8063B"/>
    <w:rsid w:val="63AB4531"/>
    <w:rsid w:val="63AB5650"/>
    <w:rsid w:val="63B90F13"/>
    <w:rsid w:val="63CA1F05"/>
    <w:rsid w:val="63CD2875"/>
    <w:rsid w:val="63D1150B"/>
    <w:rsid w:val="63D44A69"/>
    <w:rsid w:val="63D925C5"/>
    <w:rsid w:val="63E26C73"/>
    <w:rsid w:val="63E42B0A"/>
    <w:rsid w:val="63E57D3F"/>
    <w:rsid w:val="63F72841"/>
    <w:rsid w:val="6400230C"/>
    <w:rsid w:val="640D6F9E"/>
    <w:rsid w:val="6419007C"/>
    <w:rsid w:val="641A7E1A"/>
    <w:rsid w:val="64227084"/>
    <w:rsid w:val="64393907"/>
    <w:rsid w:val="64447A78"/>
    <w:rsid w:val="64482D32"/>
    <w:rsid w:val="645D3935"/>
    <w:rsid w:val="645F6A66"/>
    <w:rsid w:val="64607C58"/>
    <w:rsid w:val="64640A24"/>
    <w:rsid w:val="64734E68"/>
    <w:rsid w:val="648F5B7E"/>
    <w:rsid w:val="649069D3"/>
    <w:rsid w:val="649F2AFD"/>
    <w:rsid w:val="64A11510"/>
    <w:rsid w:val="64A46A54"/>
    <w:rsid w:val="64B35AE0"/>
    <w:rsid w:val="64B829ED"/>
    <w:rsid w:val="64C70853"/>
    <w:rsid w:val="64C90AEC"/>
    <w:rsid w:val="64D44D68"/>
    <w:rsid w:val="64E42745"/>
    <w:rsid w:val="64E94B13"/>
    <w:rsid w:val="64F61315"/>
    <w:rsid w:val="64F70F22"/>
    <w:rsid w:val="64FB4303"/>
    <w:rsid w:val="65421D4C"/>
    <w:rsid w:val="654669AD"/>
    <w:rsid w:val="654B68F0"/>
    <w:rsid w:val="654F5BD6"/>
    <w:rsid w:val="65661713"/>
    <w:rsid w:val="656D0D6B"/>
    <w:rsid w:val="658478D0"/>
    <w:rsid w:val="65881A82"/>
    <w:rsid w:val="659923C3"/>
    <w:rsid w:val="65A367F9"/>
    <w:rsid w:val="65AB39A2"/>
    <w:rsid w:val="65B2079A"/>
    <w:rsid w:val="65B47842"/>
    <w:rsid w:val="65B72C8D"/>
    <w:rsid w:val="65C37AAB"/>
    <w:rsid w:val="65CC3718"/>
    <w:rsid w:val="65D25F9E"/>
    <w:rsid w:val="65D41D21"/>
    <w:rsid w:val="65E176A8"/>
    <w:rsid w:val="65EF4DAB"/>
    <w:rsid w:val="65F67155"/>
    <w:rsid w:val="66007044"/>
    <w:rsid w:val="66014744"/>
    <w:rsid w:val="660158BF"/>
    <w:rsid w:val="660E0CB9"/>
    <w:rsid w:val="661501B6"/>
    <w:rsid w:val="6615279B"/>
    <w:rsid w:val="662837BA"/>
    <w:rsid w:val="662C0BD1"/>
    <w:rsid w:val="664612DA"/>
    <w:rsid w:val="665359AE"/>
    <w:rsid w:val="665674FB"/>
    <w:rsid w:val="66575B40"/>
    <w:rsid w:val="665F516B"/>
    <w:rsid w:val="66620996"/>
    <w:rsid w:val="66677FCD"/>
    <w:rsid w:val="667C214B"/>
    <w:rsid w:val="667E5EB8"/>
    <w:rsid w:val="66826165"/>
    <w:rsid w:val="66836A89"/>
    <w:rsid w:val="6684598C"/>
    <w:rsid w:val="668D5986"/>
    <w:rsid w:val="669126DA"/>
    <w:rsid w:val="669A519D"/>
    <w:rsid w:val="669D050F"/>
    <w:rsid w:val="66A06C9D"/>
    <w:rsid w:val="66A6506F"/>
    <w:rsid w:val="66AD07D9"/>
    <w:rsid w:val="66AD0EE7"/>
    <w:rsid w:val="66AF7C93"/>
    <w:rsid w:val="66B078A0"/>
    <w:rsid w:val="66B523ED"/>
    <w:rsid w:val="66B83845"/>
    <w:rsid w:val="66B9659C"/>
    <w:rsid w:val="66CB56A3"/>
    <w:rsid w:val="66D01C54"/>
    <w:rsid w:val="66D839DA"/>
    <w:rsid w:val="66E0249D"/>
    <w:rsid w:val="66E4299C"/>
    <w:rsid w:val="66ED5E0B"/>
    <w:rsid w:val="66FD0955"/>
    <w:rsid w:val="670A176A"/>
    <w:rsid w:val="670F1253"/>
    <w:rsid w:val="671D26B0"/>
    <w:rsid w:val="672B63C7"/>
    <w:rsid w:val="673E4A33"/>
    <w:rsid w:val="6740393C"/>
    <w:rsid w:val="67404B60"/>
    <w:rsid w:val="674E1DBE"/>
    <w:rsid w:val="67516465"/>
    <w:rsid w:val="67785975"/>
    <w:rsid w:val="67795E74"/>
    <w:rsid w:val="677F1A15"/>
    <w:rsid w:val="67880955"/>
    <w:rsid w:val="67AA7F6C"/>
    <w:rsid w:val="67B91FDF"/>
    <w:rsid w:val="67CB3969"/>
    <w:rsid w:val="67CF50C5"/>
    <w:rsid w:val="67DC163E"/>
    <w:rsid w:val="67DD30ED"/>
    <w:rsid w:val="67F771AF"/>
    <w:rsid w:val="67FE4074"/>
    <w:rsid w:val="67FE5C95"/>
    <w:rsid w:val="67FF7197"/>
    <w:rsid w:val="68132AEE"/>
    <w:rsid w:val="6829333C"/>
    <w:rsid w:val="68333D1A"/>
    <w:rsid w:val="68365B2E"/>
    <w:rsid w:val="683B342D"/>
    <w:rsid w:val="685B39AF"/>
    <w:rsid w:val="68605F17"/>
    <w:rsid w:val="687F1966"/>
    <w:rsid w:val="688E110D"/>
    <w:rsid w:val="68A667E7"/>
    <w:rsid w:val="68B91665"/>
    <w:rsid w:val="68BE1E81"/>
    <w:rsid w:val="68D2591F"/>
    <w:rsid w:val="68D772EE"/>
    <w:rsid w:val="68DE3B01"/>
    <w:rsid w:val="68F1747F"/>
    <w:rsid w:val="690854E3"/>
    <w:rsid w:val="69096C30"/>
    <w:rsid w:val="690C5B5A"/>
    <w:rsid w:val="691962C2"/>
    <w:rsid w:val="69395339"/>
    <w:rsid w:val="69401276"/>
    <w:rsid w:val="69460A4A"/>
    <w:rsid w:val="695D3C84"/>
    <w:rsid w:val="696A264A"/>
    <w:rsid w:val="696F0F1C"/>
    <w:rsid w:val="696F6A72"/>
    <w:rsid w:val="6974122A"/>
    <w:rsid w:val="697A7F11"/>
    <w:rsid w:val="697B5586"/>
    <w:rsid w:val="697F3331"/>
    <w:rsid w:val="697F554C"/>
    <w:rsid w:val="69834953"/>
    <w:rsid w:val="69952F28"/>
    <w:rsid w:val="699F684B"/>
    <w:rsid w:val="69A737FC"/>
    <w:rsid w:val="69A84F44"/>
    <w:rsid w:val="69AB3F62"/>
    <w:rsid w:val="69AE79A5"/>
    <w:rsid w:val="69B03A45"/>
    <w:rsid w:val="69B12CF6"/>
    <w:rsid w:val="69BA5DA2"/>
    <w:rsid w:val="69C33295"/>
    <w:rsid w:val="69D47EB3"/>
    <w:rsid w:val="69E40387"/>
    <w:rsid w:val="69E90165"/>
    <w:rsid w:val="69ED2E4C"/>
    <w:rsid w:val="69F34422"/>
    <w:rsid w:val="69F34EA8"/>
    <w:rsid w:val="69F54EFE"/>
    <w:rsid w:val="69FC0867"/>
    <w:rsid w:val="6A000598"/>
    <w:rsid w:val="6A054020"/>
    <w:rsid w:val="6A0743F7"/>
    <w:rsid w:val="6A076109"/>
    <w:rsid w:val="6A2A1B8E"/>
    <w:rsid w:val="6A3C2FD0"/>
    <w:rsid w:val="6A487E66"/>
    <w:rsid w:val="6A49399A"/>
    <w:rsid w:val="6A4978AC"/>
    <w:rsid w:val="6A847EAB"/>
    <w:rsid w:val="6A866F89"/>
    <w:rsid w:val="6A8B2F05"/>
    <w:rsid w:val="6A8D07FF"/>
    <w:rsid w:val="6AB544C9"/>
    <w:rsid w:val="6AC84579"/>
    <w:rsid w:val="6ACF7768"/>
    <w:rsid w:val="6AD019E6"/>
    <w:rsid w:val="6AD53008"/>
    <w:rsid w:val="6AD93E02"/>
    <w:rsid w:val="6ADA6511"/>
    <w:rsid w:val="6ADB5261"/>
    <w:rsid w:val="6B0F646D"/>
    <w:rsid w:val="6B1B1084"/>
    <w:rsid w:val="6B4A4D9C"/>
    <w:rsid w:val="6B4D0704"/>
    <w:rsid w:val="6B616017"/>
    <w:rsid w:val="6B6A54E9"/>
    <w:rsid w:val="6B7B3564"/>
    <w:rsid w:val="6B82700E"/>
    <w:rsid w:val="6B856A40"/>
    <w:rsid w:val="6B893DB1"/>
    <w:rsid w:val="6B902BFA"/>
    <w:rsid w:val="6B946864"/>
    <w:rsid w:val="6BA06B17"/>
    <w:rsid w:val="6BA40889"/>
    <w:rsid w:val="6BA740B9"/>
    <w:rsid w:val="6BBE4CA5"/>
    <w:rsid w:val="6BCA50F9"/>
    <w:rsid w:val="6BCE1E31"/>
    <w:rsid w:val="6BE76796"/>
    <w:rsid w:val="6BE84D34"/>
    <w:rsid w:val="6BEE788D"/>
    <w:rsid w:val="6BF578EC"/>
    <w:rsid w:val="6BF825D7"/>
    <w:rsid w:val="6C0815ED"/>
    <w:rsid w:val="6C093471"/>
    <w:rsid w:val="6C0E1973"/>
    <w:rsid w:val="6C113FA1"/>
    <w:rsid w:val="6C122BFC"/>
    <w:rsid w:val="6C1D7268"/>
    <w:rsid w:val="6C210910"/>
    <w:rsid w:val="6C2B1787"/>
    <w:rsid w:val="6C2C4E30"/>
    <w:rsid w:val="6C3C7322"/>
    <w:rsid w:val="6C4549BB"/>
    <w:rsid w:val="6C4910A6"/>
    <w:rsid w:val="6C5900FF"/>
    <w:rsid w:val="6C5961A0"/>
    <w:rsid w:val="6C607786"/>
    <w:rsid w:val="6C6304FB"/>
    <w:rsid w:val="6C6E1AD1"/>
    <w:rsid w:val="6C70518B"/>
    <w:rsid w:val="6C805828"/>
    <w:rsid w:val="6C9666D2"/>
    <w:rsid w:val="6C984DB1"/>
    <w:rsid w:val="6CB97C61"/>
    <w:rsid w:val="6CBF4E5B"/>
    <w:rsid w:val="6CC2351C"/>
    <w:rsid w:val="6CC6370D"/>
    <w:rsid w:val="6CDB481E"/>
    <w:rsid w:val="6CE74165"/>
    <w:rsid w:val="6CF423A4"/>
    <w:rsid w:val="6CF57654"/>
    <w:rsid w:val="6CF64874"/>
    <w:rsid w:val="6D051728"/>
    <w:rsid w:val="6D0E1A9A"/>
    <w:rsid w:val="6D103CAC"/>
    <w:rsid w:val="6D195808"/>
    <w:rsid w:val="6D276FC9"/>
    <w:rsid w:val="6D2E17CF"/>
    <w:rsid w:val="6D34649A"/>
    <w:rsid w:val="6D3A7C38"/>
    <w:rsid w:val="6D434235"/>
    <w:rsid w:val="6D486DEA"/>
    <w:rsid w:val="6D646E86"/>
    <w:rsid w:val="6D79205E"/>
    <w:rsid w:val="6D801469"/>
    <w:rsid w:val="6D8C3C7E"/>
    <w:rsid w:val="6D966201"/>
    <w:rsid w:val="6DA44CCC"/>
    <w:rsid w:val="6DAA3B65"/>
    <w:rsid w:val="6DB15E63"/>
    <w:rsid w:val="6DBC35E7"/>
    <w:rsid w:val="6DBE2CD2"/>
    <w:rsid w:val="6DCB75EA"/>
    <w:rsid w:val="6DCD2CD8"/>
    <w:rsid w:val="6DD302BB"/>
    <w:rsid w:val="6DD67533"/>
    <w:rsid w:val="6DD842CE"/>
    <w:rsid w:val="6DDA215E"/>
    <w:rsid w:val="6DE5781E"/>
    <w:rsid w:val="6DE71902"/>
    <w:rsid w:val="6DEC4D8A"/>
    <w:rsid w:val="6DF45A54"/>
    <w:rsid w:val="6E023166"/>
    <w:rsid w:val="6E161345"/>
    <w:rsid w:val="6E1B3DC5"/>
    <w:rsid w:val="6E1C682F"/>
    <w:rsid w:val="6E1D560E"/>
    <w:rsid w:val="6E207F64"/>
    <w:rsid w:val="6E22302C"/>
    <w:rsid w:val="6E252815"/>
    <w:rsid w:val="6E254593"/>
    <w:rsid w:val="6E256FCC"/>
    <w:rsid w:val="6E2E3807"/>
    <w:rsid w:val="6E311E99"/>
    <w:rsid w:val="6E312632"/>
    <w:rsid w:val="6E3F2C69"/>
    <w:rsid w:val="6E482930"/>
    <w:rsid w:val="6E4A4DC6"/>
    <w:rsid w:val="6E5D5898"/>
    <w:rsid w:val="6E702976"/>
    <w:rsid w:val="6E902B2E"/>
    <w:rsid w:val="6E934684"/>
    <w:rsid w:val="6E9D7344"/>
    <w:rsid w:val="6EB76A7A"/>
    <w:rsid w:val="6EBF5232"/>
    <w:rsid w:val="6EC94431"/>
    <w:rsid w:val="6ED0305E"/>
    <w:rsid w:val="6ED50C5B"/>
    <w:rsid w:val="6ED7493A"/>
    <w:rsid w:val="6EDE7905"/>
    <w:rsid w:val="6EE0297D"/>
    <w:rsid w:val="6EE72C63"/>
    <w:rsid w:val="6EEB402A"/>
    <w:rsid w:val="6EEB40D7"/>
    <w:rsid w:val="6EFF3835"/>
    <w:rsid w:val="6F0029B2"/>
    <w:rsid w:val="6F197B38"/>
    <w:rsid w:val="6F206B5F"/>
    <w:rsid w:val="6F241581"/>
    <w:rsid w:val="6F382D65"/>
    <w:rsid w:val="6F3D41EA"/>
    <w:rsid w:val="6F5C3CF5"/>
    <w:rsid w:val="6F5D7A65"/>
    <w:rsid w:val="6F5E41F2"/>
    <w:rsid w:val="6F812756"/>
    <w:rsid w:val="6F827155"/>
    <w:rsid w:val="6F862861"/>
    <w:rsid w:val="6F9A58FC"/>
    <w:rsid w:val="6FA452EF"/>
    <w:rsid w:val="6FA47A99"/>
    <w:rsid w:val="6FBA1BF8"/>
    <w:rsid w:val="6FBD5FF7"/>
    <w:rsid w:val="6FC21A48"/>
    <w:rsid w:val="6FC27DBC"/>
    <w:rsid w:val="6FC60EB1"/>
    <w:rsid w:val="6FCF2179"/>
    <w:rsid w:val="6FD257DC"/>
    <w:rsid w:val="6FDF550C"/>
    <w:rsid w:val="6FEA6EAC"/>
    <w:rsid w:val="6FED47DC"/>
    <w:rsid w:val="6FF138E6"/>
    <w:rsid w:val="6FF22BCD"/>
    <w:rsid w:val="70061162"/>
    <w:rsid w:val="700714C6"/>
    <w:rsid w:val="700E12D2"/>
    <w:rsid w:val="70142C6F"/>
    <w:rsid w:val="701C5A77"/>
    <w:rsid w:val="70225F58"/>
    <w:rsid w:val="70267B18"/>
    <w:rsid w:val="703A4174"/>
    <w:rsid w:val="703D1144"/>
    <w:rsid w:val="70425425"/>
    <w:rsid w:val="7049345C"/>
    <w:rsid w:val="704B28E5"/>
    <w:rsid w:val="70610CAB"/>
    <w:rsid w:val="70611455"/>
    <w:rsid w:val="70646484"/>
    <w:rsid w:val="707005C9"/>
    <w:rsid w:val="70767110"/>
    <w:rsid w:val="708452B2"/>
    <w:rsid w:val="70865B49"/>
    <w:rsid w:val="709C47AE"/>
    <w:rsid w:val="70A0399C"/>
    <w:rsid w:val="70AB488F"/>
    <w:rsid w:val="70AE42ED"/>
    <w:rsid w:val="70B072DC"/>
    <w:rsid w:val="70C80BDD"/>
    <w:rsid w:val="70D668BA"/>
    <w:rsid w:val="70E436FD"/>
    <w:rsid w:val="70F53F15"/>
    <w:rsid w:val="70F56932"/>
    <w:rsid w:val="70F76729"/>
    <w:rsid w:val="71027BC4"/>
    <w:rsid w:val="71042A49"/>
    <w:rsid w:val="710A5CFD"/>
    <w:rsid w:val="711052E1"/>
    <w:rsid w:val="711D307C"/>
    <w:rsid w:val="712C3AAB"/>
    <w:rsid w:val="71305D19"/>
    <w:rsid w:val="714C495C"/>
    <w:rsid w:val="714E6FE4"/>
    <w:rsid w:val="71534DCD"/>
    <w:rsid w:val="715F0989"/>
    <w:rsid w:val="716052C8"/>
    <w:rsid w:val="71693BF6"/>
    <w:rsid w:val="716F0D67"/>
    <w:rsid w:val="717D178F"/>
    <w:rsid w:val="719B7780"/>
    <w:rsid w:val="71A926A3"/>
    <w:rsid w:val="71AC440D"/>
    <w:rsid w:val="71CB6A75"/>
    <w:rsid w:val="71D3572A"/>
    <w:rsid w:val="71D644DD"/>
    <w:rsid w:val="71E55093"/>
    <w:rsid w:val="71E960C3"/>
    <w:rsid w:val="71EC0D28"/>
    <w:rsid w:val="71F173D8"/>
    <w:rsid w:val="71FC724E"/>
    <w:rsid w:val="721910E6"/>
    <w:rsid w:val="721C47DE"/>
    <w:rsid w:val="721F053A"/>
    <w:rsid w:val="722415A7"/>
    <w:rsid w:val="72253BE9"/>
    <w:rsid w:val="723344E1"/>
    <w:rsid w:val="72394B6A"/>
    <w:rsid w:val="72432E63"/>
    <w:rsid w:val="724D6571"/>
    <w:rsid w:val="72514BC8"/>
    <w:rsid w:val="725747AF"/>
    <w:rsid w:val="725F5A8B"/>
    <w:rsid w:val="7263248E"/>
    <w:rsid w:val="726D30F5"/>
    <w:rsid w:val="727303B4"/>
    <w:rsid w:val="72733AA2"/>
    <w:rsid w:val="728C110F"/>
    <w:rsid w:val="729025F9"/>
    <w:rsid w:val="72980202"/>
    <w:rsid w:val="72A10BB9"/>
    <w:rsid w:val="72A85E93"/>
    <w:rsid w:val="72B73BD9"/>
    <w:rsid w:val="72BA3600"/>
    <w:rsid w:val="72C27538"/>
    <w:rsid w:val="72C60671"/>
    <w:rsid w:val="72DA3C32"/>
    <w:rsid w:val="72E00C85"/>
    <w:rsid w:val="72EB4648"/>
    <w:rsid w:val="72EB5588"/>
    <w:rsid w:val="72F661C7"/>
    <w:rsid w:val="72FD7895"/>
    <w:rsid w:val="730168E5"/>
    <w:rsid w:val="730E64B3"/>
    <w:rsid w:val="730F458C"/>
    <w:rsid w:val="734058D4"/>
    <w:rsid w:val="73430042"/>
    <w:rsid w:val="734C4D94"/>
    <w:rsid w:val="734D08FB"/>
    <w:rsid w:val="73531F43"/>
    <w:rsid w:val="735C042E"/>
    <w:rsid w:val="735D4C71"/>
    <w:rsid w:val="736055A5"/>
    <w:rsid w:val="736C0F16"/>
    <w:rsid w:val="73762994"/>
    <w:rsid w:val="737B1F47"/>
    <w:rsid w:val="738B6602"/>
    <w:rsid w:val="738F6AEA"/>
    <w:rsid w:val="73907D15"/>
    <w:rsid w:val="739E77B8"/>
    <w:rsid w:val="73A049EE"/>
    <w:rsid w:val="73A33415"/>
    <w:rsid w:val="73A75661"/>
    <w:rsid w:val="73AC0A2C"/>
    <w:rsid w:val="73AC4ABB"/>
    <w:rsid w:val="73C0142B"/>
    <w:rsid w:val="73D9358D"/>
    <w:rsid w:val="73E45D06"/>
    <w:rsid w:val="73E80742"/>
    <w:rsid w:val="73EC168B"/>
    <w:rsid w:val="73ED1374"/>
    <w:rsid w:val="73EF2769"/>
    <w:rsid w:val="73EF3843"/>
    <w:rsid w:val="73FF26A8"/>
    <w:rsid w:val="7407554C"/>
    <w:rsid w:val="74230320"/>
    <w:rsid w:val="743412D3"/>
    <w:rsid w:val="7434370C"/>
    <w:rsid w:val="743C74D7"/>
    <w:rsid w:val="743F4451"/>
    <w:rsid w:val="743F5900"/>
    <w:rsid w:val="744A44F1"/>
    <w:rsid w:val="744C63C9"/>
    <w:rsid w:val="74503BD9"/>
    <w:rsid w:val="74522BC1"/>
    <w:rsid w:val="745C2D0A"/>
    <w:rsid w:val="745F7822"/>
    <w:rsid w:val="74736EF0"/>
    <w:rsid w:val="74743FA7"/>
    <w:rsid w:val="7474555C"/>
    <w:rsid w:val="7475069D"/>
    <w:rsid w:val="74891965"/>
    <w:rsid w:val="74966245"/>
    <w:rsid w:val="749720DF"/>
    <w:rsid w:val="74A43211"/>
    <w:rsid w:val="74AC5A54"/>
    <w:rsid w:val="74B75A07"/>
    <w:rsid w:val="74C3453A"/>
    <w:rsid w:val="74CE1934"/>
    <w:rsid w:val="74D54F3F"/>
    <w:rsid w:val="74D7129D"/>
    <w:rsid w:val="74EF3D66"/>
    <w:rsid w:val="751A37A4"/>
    <w:rsid w:val="75283AF9"/>
    <w:rsid w:val="75297259"/>
    <w:rsid w:val="752B5878"/>
    <w:rsid w:val="7531063E"/>
    <w:rsid w:val="75406298"/>
    <w:rsid w:val="75487BB3"/>
    <w:rsid w:val="755722BF"/>
    <w:rsid w:val="7565538E"/>
    <w:rsid w:val="75707152"/>
    <w:rsid w:val="75883BEA"/>
    <w:rsid w:val="758A1ECA"/>
    <w:rsid w:val="758B56E6"/>
    <w:rsid w:val="75932ACE"/>
    <w:rsid w:val="75973638"/>
    <w:rsid w:val="75AF32A0"/>
    <w:rsid w:val="75B82FCC"/>
    <w:rsid w:val="75BD676F"/>
    <w:rsid w:val="75D53935"/>
    <w:rsid w:val="75EE6BBC"/>
    <w:rsid w:val="75F452F4"/>
    <w:rsid w:val="75FB03B9"/>
    <w:rsid w:val="76001C63"/>
    <w:rsid w:val="760A4CD8"/>
    <w:rsid w:val="760E4486"/>
    <w:rsid w:val="76104DEF"/>
    <w:rsid w:val="76144D13"/>
    <w:rsid w:val="761C212F"/>
    <w:rsid w:val="762264C9"/>
    <w:rsid w:val="7623351C"/>
    <w:rsid w:val="762364BE"/>
    <w:rsid w:val="76243AE4"/>
    <w:rsid w:val="762C7A13"/>
    <w:rsid w:val="763B7CE1"/>
    <w:rsid w:val="76434C71"/>
    <w:rsid w:val="76453B3A"/>
    <w:rsid w:val="764670FE"/>
    <w:rsid w:val="76471A49"/>
    <w:rsid w:val="76577311"/>
    <w:rsid w:val="766325CD"/>
    <w:rsid w:val="766C3580"/>
    <w:rsid w:val="766E4257"/>
    <w:rsid w:val="766F1BE2"/>
    <w:rsid w:val="76792999"/>
    <w:rsid w:val="767C4D0D"/>
    <w:rsid w:val="7687546D"/>
    <w:rsid w:val="768A0414"/>
    <w:rsid w:val="76A30627"/>
    <w:rsid w:val="76A41F86"/>
    <w:rsid w:val="76A52D0C"/>
    <w:rsid w:val="76A53B5D"/>
    <w:rsid w:val="76A76CD6"/>
    <w:rsid w:val="76AB794C"/>
    <w:rsid w:val="76BD6A9B"/>
    <w:rsid w:val="76CB1F7E"/>
    <w:rsid w:val="76CC692A"/>
    <w:rsid w:val="76D412D3"/>
    <w:rsid w:val="76D75A72"/>
    <w:rsid w:val="76E509C8"/>
    <w:rsid w:val="76E77A34"/>
    <w:rsid w:val="76F01122"/>
    <w:rsid w:val="76F326EB"/>
    <w:rsid w:val="76FC1DBB"/>
    <w:rsid w:val="76FF686A"/>
    <w:rsid w:val="770366E4"/>
    <w:rsid w:val="7708292C"/>
    <w:rsid w:val="77117255"/>
    <w:rsid w:val="77325CF1"/>
    <w:rsid w:val="77403C21"/>
    <w:rsid w:val="77516102"/>
    <w:rsid w:val="775B44A4"/>
    <w:rsid w:val="775E27DD"/>
    <w:rsid w:val="775E4934"/>
    <w:rsid w:val="775F0F0F"/>
    <w:rsid w:val="77645535"/>
    <w:rsid w:val="77803A0A"/>
    <w:rsid w:val="778B124D"/>
    <w:rsid w:val="779B77D4"/>
    <w:rsid w:val="77A74BDF"/>
    <w:rsid w:val="77BE3952"/>
    <w:rsid w:val="77C737FB"/>
    <w:rsid w:val="77DF4DE5"/>
    <w:rsid w:val="77E83865"/>
    <w:rsid w:val="77F70919"/>
    <w:rsid w:val="77FE17B0"/>
    <w:rsid w:val="78002057"/>
    <w:rsid w:val="78067A27"/>
    <w:rsid w:val="78095B41"/>
    <w:rsid w:val="78290F93"/>
    <w:rsid w:val="782F10C4"/>
    <w:rsid w:val="78367589"/>
    <w:rsid w:val="78400536"/>
    <w:rsid w:val="785B0CF2"/>
    <w:rsid w:val="78664935"/>
    <w:rsid w:val="78672F05"/>
    <w:rsid w:val="78682950"/>
    <w:rsid w:val="786F7561"/>
    <w:rsid w:val="787148B9"/>
    <w:rsid w:val="78824C47"/>
    <w:rsid w:val="78882CD1"/>
    <w:rsid w:val="788B1139"/>
    <w:rsid w:val="78A91B72"/>
    <w:rsid w:val="78B948D5"/>
    <w:rsid w:val="78BA6833"/>
    <w:rsid w:val="78BE624A"/>
    <w:rsid w:val="78C56B6A"/>
    <w:rsid w:val="78C76069"/>
    <w:rsid w:val="78CD6279"/>
    <w:rsid w:val="78D418E3"/>
    <w:rsid w:val="78DA0914"/>
    <w:rsid w:val="78DF0BA6"/>
    <w:rsid w:val="78E52EAE"/>
    <w:rsid w:val="78EA5D9C"/>
    <w:rsid w:val="78EF3885"/>
    <w:rsid w:val="78F302FE"/>
    <w:rsid w:val="79004EE0"/>
    <w:rsid w:val="79095197"/>
    <w:rsid w:val="791372C6"/>
    <w:rsid w:val="7917270F"/>
    <w:rsid w:val="791F2BBD"/>
    <w:rsid w:val="79235655"/>
    <w:rsid w:val="79256995"/>
    <w:rsid w:val="7929054E"/>
    <w:rsid w:val="793A646B"/>
    <w:rsid w:val="794C263F"/>
    <w:rsid w:val="79514BA8"/>
    <w:rsid w:val="795652BD"/>
    <w:rsid w:val="796B7432"/>
    <w:rsid w:val="79910C8B"/>
    <w:rsid w:val="7994319C"/>
    <w:rsid w:val="79945D48"/>
    <w:rsid w:val="79981EC2"/>
    <w:rsid w:val="799F1EE8"/>
    <w:rsid w:val="79A10C79"/>
    <w:rsid w:val="79A118E5"/>
    <w:rsid w:val="79A1400A"/>
    <w:rsid w:val="79AB506F"/>
    <w:rsid w:val="79B33B62"/>
    <w:rsid w:val="79BC042A"/>
    <w:rsid w:val="79C32D2B"/>
    <w:rsid w:val="79C51B25"/>
    <w:rsid w:val="79C9147F"/>
    <w:rsid w:val="79CB7D25"/>
    <w:rsid w:val="79CF2E67"/>
    <w:rsid w:val="79D27886"/>
    <w:rsid w:val="79D83428"/>
    <w:rsid w:val="79DA7628"/>
    <w:rsid w:val="79DD429F"/>
    <w:rsid w:val="79E24D20"/>
    <w:rsid w:val="79EB35F9"/>
    <w:rsid w:val="79FD04B1"/>
    <w:rsid w:val="79FF7E0A"/>
    <w:rsid w:val="7A025333"/>
    <w:rsid w:val="7A0904F5"/>
    <w:rsid w:val="7A1A6048"/>
    <w:rsid w:val="7A1B7573"/>
    <w:rsid w:val="7A242280"/>
    <w:rsid w:val="7A252669"/>
    <w:rsid w:val="7A2A3F46"/>
    <w:rsid w:val="7A344833"/>
    <w:rsid w:val="7A3B11F8"/>
    <w:rsid w:val="7A4555AD"/>
    <w:rsid w:val="7A467598"/>
    <w:rsid w:val="7A4F75C9"/>
    <w:rsid w:val="7A507C5F"/>
    <w:rsid w:val="7A587BE0"/>
    <w:rsid w:val="7A632F36"/>
    <w:rsid w:val="7A772525"/>
    <w:rsid w:val="7A7A147D"/>
    <w:rsid w:val="7A8476A6"/>
    <w:rsid w:val="7A875C0B"/>
    <w:rsid w:val="7A9E3B12"/>
    <w:rsid w:val="7A9E45A9"/>
    <w:rsid w:val="7AA57C4E"/>
    <w:rsid w:val="7AAE00E9"/>
    <w:rsid w:val="7AB712EE"/>
    <w:rsid w:val="7ADD2949"/>
    <w:rsid w:val="7AEB2BB0"/>
    <w:rsid w:val="7AFA5A53"/>
    <w:rsid w:val="7AFE6C46"/>
    <w:rsid w:val="7B1B3500"/>
    <w:rsid w:val="7B1D3192"/>
    <w:rsid w:val="7B3B0098"/>
    <w:rsid w:val="7B4F40D3"/>
    <w:rsid w:val="7B527700"/>
    <w:rsid w:val="7B540AA6"/>
    <w:rsid w:val="7B5543D3"/>
    <w:rsid w:val="7B62199C"/>
    <w:rsid w:val="7B6B24BD"/>
    <w:rsid w:val="7B7568AB"/>
    <w:rsid w:val="7B780F5F"/>
    <w:rsid w:val="7B7B51AB"/>
    <w:rsid w:val="7B901B65"/>
    <w:rsid w:val="7BB13A0B"/>
    <w:rsid w:val="7BB52BA8"/>
    <w:rsid w:val="7BC61A0A"/>
    <w:rsid w:val="7BC65F83"/>
    <w:rsid w:val="7BC71700"/>
    <w:rsid w:val="7BCA50B3"/>
    <w:rsid w:val="7BCD4C6E"/>
    <w:rsid w:val="7BD058E3"/>
    <w:rsid w:val="7BE27116"/>
    <w:rsid w:val="7BE65A4D"/>
    <w:rsid w:val="7BF02B8B"/>
    <w:rsid w:val="7BF56796"/>
    <w:rsid w:val="7BF92303"/>
    <w:rsid w:val="7C0B5CC1"/>
    <w:rsid w:val="7C2F6266"/>
    <w:rsid w:val="7C306317"/>
    <w:rsid w:val="7C337B6E"/>
    <w:rsid w:val="7C3C4C50"/>
    <w:rsid w:val="7C48495C"/>
    <w:rsid w:val="7C5C18D6"/>
    <w:rsid w:val="7C66162D"/>
    <w:rsid w:val="7C6D0455"/>
    <w:rsid w:val="7C722783"/>
    <w:rsid w:val="7C724C9B"/>
    <w:rsid w:val="7C7E3602"/>
    <w:rsid w:val="7C826316"/>
    <w:rsid w:val="7C92777B"/>
    <w:rsid w:val="7C963777"/>
    <w:rsid w:val="7C9A6879"/>
    <w:rsid w:val="7CA53195"/>
    <w:rsid w:val="7CAC3DA9"/>
    <w:rsid w:val="7CAE3D53"/>
    <w:rsid w:val="7CC744DA"/>
    <w:rsid w:val="7CD044A9"/>
    <w:rsid w:val="7CEC760D"/>
    <w:rsid w:val="7CEF461E"/>
    <w:rsid w:val="7CF21D27"/>
    <w:rsid w:val="7CF76C26"/>
    <w:rsid w:val="7CFE4881"/>
    <w:rsid w:val="7D0F0E9E"/>
    <w:rsid w:val="7D131FEB"/>
    <w:rsid w:val="7D1C2C27"/>
    <w:rsid w:val="7D210078"/>
    <w:rsid w:val="7D250B93"/>
    <w:rsid w:val="7D317E35"/>
    <w:rsid w:val="7D343F42"/>
    <w:rsid w:val="7D353FB8"/>
    <w:rsid w:val="7D357081"/>
    <w:rsid w:val="7D362D54"/>
    <w:rsid w:val="7D380908"/>
    <w:rsid w:val="7D4924A5"/>
    <w:rsid w:val="7D4B4550"/>
    <w:rsid w:val="7D620E1B"/>
    <w:rsid w:val="7D621173"/>
    <w:rsid w:val="7D670673"/>
    <w:rsid w:val="7D6D7AC5"/>
    <w:rsid w:val="7D7156CA"/>
    <w:rsid w:val="7D727065"/>
    <w:rsid w:val="7D7D700E"/>
    <w:rsid w:val="7D854A9F"/>
    <w:rsid w:val="7D8C1482"/>
    <w:rsid w:val="7D9041B7"/>
    <w:rsid w:val="7DA27548"/>
    <w:rsid w:val="7DA5242B"/>
    <w:rsid w:val="7DAE5E7E"/>
    <w:rsid w:val="7DBB3348"/>
    <w:rsid w:val="7DC95790"/>
    <w:rsid w:val="7DD17BDC"/>
    <w:rsid w:val="7DD778BE"/>
    <w:rsid w:val="7DD80AB1"/>
    <w:rsid w:val="7DDD2809"/>
    <w:rsid w:val="7DDE0489"/>
    <w:rsid w:val="7DF4003F"/>
    <w:rsid w:val="7E031DD2"/>
    <w:rsid w:val="7E062D44"/>
    <w:rsid w:val="7E0C6C31"/>
    <w:rsid w:val="7E190130"/>
    <w:rsid w:val="7E2404AD"/>
    <w:rsid w:val="7E3D1A38"/>
    <w:rsid w:val="7E42116D"/>
    <w:rsid w:val="7E442218"/>
    <w:rsid w:val="7E4E6836"/>
    <w:rsid w:val="7E521788"/>
    <w:rsid w:val="7E637A7C"/>
    <w:rsid w:val="7E643FCD"/>
    <w:rsid w:val="7E7C5D67"/>
    <w:rsid w:val="7E7D50F2"/>
    <w:rsid w:val="7E7F6636"/>
    <w:rsid w:val="7E7F6931"/>
    <w:rsid w:val="7E906D20"/>
    <w:rsid w:val="7EA67FB9"/>
    <w:rsid w:val="7EC57E03"/>
    <w:rsid w:val="7ED36E1F"/>
    <w:rsid w:val="7EDE4ADA"/>
    <w:rsid w:val="7EEE37A3"/>
    <w:rsid w:val="7EF61275"/>
    <w:rsid w:val="7EFA61C9"/>
    <w:rsid w:val="7F0610D2"/>
    <w:rsid w:val="7F1D652B"/>
    <w:rsid w:val="7F2E4390"/>
    <w:rsid w:val="7F344797"/>
    <w:rsid w:val="7F3F0F00"/>
    <w:rsid w:val="7F3F334C"/>
    <w:rsid w:val="7F4831B5"/>
    <w:rsid w:val="7F4D3B99"/>
    <w:rsid w:val="7F5C0E2D"/>
    <w:rsid w:val="7F615EF1"/>
    <w:rsid w:val="7F695182"/>
    <w:rsid w:val="7F9E2229"/>
    <w:rsid w:val="7FA13F1A"/>
    <w:rsid w:val="7FA66BA2"/>
    <w:rsid w:val="7FA837DA"/>
    <w:rsid w:val="7FAF4FDF"/>
    <w:rsid w:val="7FB3768F"/>
    <w:rsid w:val="7FB5278B"/>
    <w:rsid w:val="7FBA0DD2"/>
    <w:rsid w:val="7FC32C4B"/>
    <w:rsid w:val="7FD20720"/>
    <w:rsid w:val="7FD90BFE"/>
    <w:rsid w:val="7FD95D7B"/>
    <w:rsid w:val="7FE64E37"/>
    <w:rsid w:val="7FFB6912"/>
    <w:rsid w:val="7FFE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qFormat="1" w:unhideWhenUsed="0" w:uiPriority="0" w:semiHidden="0" w:name="toc 8"/>
    <w:lsdException w:uiPriority="39" w:name="toc 9"/>
    <w:lsdException w:qFormat="1" w:unhideWhenUsed="0" w:uiPriority="0" w:semiHidden="0" w:name="Normal Indent"/>
    <w:lsdException w:qFormat="1" w:unhideWhenUsed="0"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0" w:semiHidden="0" w:name="Body Text First Indent"/>
    <w:lsdException w:qFormat="1" w:uiPriority="99" w:semiHidden="0" w:name="Body Text First Indent 2"/>
    <w:lsdException w:qFormat="1" w:unhideWhenUsed="0" w:uiPriority="0" w:semiHidden="0"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79" w:lineRule="exact"/>
      <w:ind w:firstLine="643" w:firstLineChars="200"/>
      <w:jc w:val="both"/>
    </w:pPr>
    <w:rPr>
      <w:rFonts w:ascii="Times New Roman" w:hAnsi="Times New Roman" w:eastAsia="仿宋_GB2312" w:cstheme="minorBidi"/>
      <w:kern w:val="2"/>
      <w:sz w:val="32"/>
      <w:szCs w:val="22"/>
      <w:lang w:val="en-US" w:eastAsia="zh-CN" w:bidi="ar-SA"/>
    </w:rPr>
  </w:style>
  <w:style w:type="paragraph" w:styleId="4">
    <w:name w:val="heading 1"/>
    <w:basedOn w:val="1"/>
    <w:next w:val="1"/>
    <w:qFormat/>
    <w:uiPriority w:val="9"/>
    <w:pPr>
      <w:keepNext/>
      <w:keepLines/>
      <w:jc w:val="left"/>
      <w:outlineLvl w:val="0"/>
    </w:pPr>
    <w:rPr>
      <w:rFonts w:eastAsia="黑体"/>
      <w:kern w:val="44"/>
    </w:rPr>
  </w:style>
  <w:style w:type="paragraph" w:styleId="5">
    <w:name w:val="heading 2"/>
    <w:basedOn w:val="1"/>
    <w:next w:val="1"/>
    <w:link w:val="33"/>
    <w:unhideWhenUsed/>
    <w:qFormat/>
    <w:uiPriority w:val="9"/>
    <w:pPr>
      <w:keepNext/>
      <w:keepLines/>
      <w:ind w:firstLine="872"/>
      <w:outlineLvl w:val="1"/>
    </w:pPr>
    <w:rPr>
      <w:rFonts w:eastAsia="楷体_GB2312"/>
      <w:b/>
    </w:rPr>
  </w:style>
  <w:style w:type="paragraph" w:styleId="6">
    <w:name w:val="heading 3"/>
    <w:basedOn w:val="1"/>
    <w:next w:val="1"/>
    <w:link w:val="32"/>
    <w:unhideWhenUsed/>
    <w:qFormat/>
    <w:uiPriority w:val="0"/>
    <w:pPr>
      <w:keepNext/>
      <w:keepLines/>
      <w:widowControl/>
      <w:spacing w:before="260" w:after="260" w:line="416" w:lineRule="auto"/>
      <w:jc w:val="left"/>
      <w:outlineLvl w:val="2"/>
    </w:pPr>
    <w:rPr>
      <w:rFonts w:eastAsia="宋体" w:cs="Times New Roman"/>
      <w:b/>
      <w:bCs/>
      <w:kern w:val="0"/>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unhideWhenUsed/>
    <w:qFormat/>
    <w:uiPriority w:val="99"/>
    <w:pPr>
      <w:spacing w:after="120"/>
      <w:ind w:left="420" w:leftChars="200"/>
    </w:pPr>
    <w:rPr>
      <w:rFonts w:cs="Times New Roman"/>
      <w:szCs w:val="24"/>
    </w:rPr>
  </w:style>
  <w:style w:type="paragraph" w:styleId="7">
    <w:name w:val="Note Heading"/>
    <w:basedOn w:val="1"/>
    <w:next w:val="1"/>
    <w:qFormat/>
    <w:uiPriority w:val="0"/>
    <w:pPr>
      <w:jc w:val="center"/>
    </w:pPr>
  </w:style>
  <w:style w:type="paragraph" w:styleId="8">
    <w:name w:val="Normal Indent"/>
    <w:basedOn w:val="1"/>
    <w:next w:val="9"/>
    <w:qFormat/>
    <w:uiPriority w:val="0"/>
    <w:pPr>
      <w:ind w:firstLine="567"/>
    </w:pPr>
    <w:rPr>
      <w:rFonts w:ascii="Calibri" w:hAnsi="Calibri" w:cs="Times New Roman"/>
      <w:szCs w:val="24"/>
    </w:rPr>
  </w:style>
  <w:style w:type="paragraph" w:styleId="9">
    <w:name w:val="toc 8"/>
    <w:next w:val="1"/>
    <w:qFormat/>
    <w:uiPriority w:val="0"/>
    <w:pPr>
      <w:wordWrap w:val="0"/>
      <w:ind w:left="1270"/>
      <w:jc w:val="both"/>
    </w:pPr>
    <w:rPr>
      <w:rFonts w:ascii="Times New Roman" w:hAnsi="Times New Roman" w:eastAsia="宋体" w:cs="Times New Roman"/>
      <w:lang w:val="en-US" w:eastAsia="zh-CN" w:bidi="ar-SA"/>
    </w:rPr>
  </w:style>
  <w:style w:type="paragraph" w:styleId="10">
    <w:name w:val="annotation text"/>
    <w:basedOn w:val="1"/>
    <w:semiHidden/>
    <w:unhideWhenUsed/>
    <w:qFormat/>
    <w:uiPriority w:val="99"/>
    <w:pPr>
      <w:jc w:val="left"/>
    </w:pPr>
  </w:style>
  <w:style w:type="paragraph" w:styleId="11">
    <w:name w:val="Body Text"/>
    <w:basedOn w:val="1"/>
    <w:next w:val="1"/>
    <w:link w:val="42"/>
    <w:unhideWhenUsed/>
    <w:qFormat/>
    <w:uiPriority w:val="99"/>
    <w:pPr>
      <w:spacing w:after="120"/>
    </w:pPr>
  </w:style>
  <w:style w:type="paragraph" w:styleId="12">
    <w:name w:val="toc 3"/>
    <w:basedOn w:val="1"/>
    <w:next w:val="1"/>
    <w:semiHidden/>
    <w:unhideWhenUsed/>
    <w:qFormat/>
    <w:uiPriority w:val="39"/>
    <w:pPr>
      <w:ind w:left="840" w:leftChars="400"/>
    </w:pPr>
  </w:style>
  <w:style w:type="paragraph" w:styleId="13">
    <w:name w:val="Balloon Text"/>
    <w:basedOn w:val="1"/>
    <w:link w:val="39"/>
    <w:semiHidden/>
    <w:unhideWhenUsed/>
    <w:qFormat/>
    <w:uiPriority w:val="99"/>
    <w:rPr>
      <w:sz w:val="18"/>
      <w:szCs w:val="18"/>
    </w:rPr>
  </w:style>
  <w:style w:type="paragraph" w:styleId="14">
    <w:name w:val="footer"/>
    <w:basedOn w:val="1"/>
    <w:link w:val="36"/>
    <w:unhideWhenUsed/>
    <w:qFormat/>
    <w:uiPriority w:val="99"/>
    <w:pPr>
      <w:tabs>
        <w:tab w:val="center" w:pos="4153"/>
        <w:tab w:val="right" w:pos="8306"/>
      </w:tabs>
      <w:jc w:val="left"/>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unhideWhenUsed/>
    <w:qFormat/>
    <w:uiPriority w:val="39"/>
  </w:style>
  <w:style w:type="paragraph" w:styleId="17">
    <w:name w:val="Subtitle"/>
    <w:basedOn w:val="1"/>
    <w:next w:val="1"/>
    <w:qFormat/>
    <w:uiPriority w:val="0"/>
    <w:pPr>
      <w:spacing w:before="240" w:after="60" w:line="312" w:lineRule="auto"/>
      <w:jc w:val="center"/>
      <w:outlineLvl w:val="1"/>
    </w:pPr>
    <w:rPr>
      <w:rFonts w:ascii="Cambria" w:hAnsi="Cambria" w:eastAsia="宋体" w:cs="Times New Roman"/>
      <w:b/>
      <w:bCs/>
      <w:kern w:val="28"/>
      <w:szCs w:val="32"/>
    </w:rPr>
  </w:style>
  <w:style w:type="paragraph" w:styleId="18">
    <w:name w:val="footnote text"/>
    <w:basedOn w:val="1"/>
    <w:qFormat/>
    <w:uiPriority w:val="99"/>
    <w:pPr>
      <w:jc w:val="left"/>
    </w:pPr>
    <w:rPr>
      <w:rFonts w:cs="Calibri"/>
      <w:kern w:val="0"/>
      <w:sz w:val="18"/>
      <w:szCs w:val="18"/>
    </w:rPr>
  </w:style>
  <w:style w:type="paragraph" w:styleId="19">
    <w:name w:val="Body Text Indent 3"/>
    <w:basedOn w:val="1"/>
    <w:qFormat/>
    <w:uiPriority w:val="0"/>
    <w:pPr>
      <w:ind w:firstLine="538" w:firstLineChars="192"/>
    </w:pPr>
    <w:rPr>
      <w:rFonts w:ascii="楷体_GB2312" w:eastAsia="楷体_GB2312"/>
      <w:sz w:val="28"/>
      <w:szCs w:val="28"/>
    </w:rPr>
  </w:style>
  <w:style w:type="paragraph" w:styleId="20">
    <w:name w:val="toc 2"/>
    <w:basedOn w:val="1"/>
    <w:next w:val="1"/>
    <w:unhideWhenUsed/>
    <w:qFormat/>
    <w:uiPriority w:val="39"/>
    <w:pPr>
      <w:ind w:left="420" w:leftChars="200"/>
    </w:p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2">
    <w:name w:val="Body Text First Indent"/>
    <w:basedOn w:val="11"/>
    <w:next w:val="1"/>
    <w:unhideWhenUsed/>
    <w:qFormat/>
    <w:uiPriority w:val="0"/>
    <w:pPr>
      <w:ind w:firstLine="420" w:firstLineChars="100"/>
    </w:p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FollowedHyperlink"/>
    <w:basedOn w:val="25"/>
    <w:semiHidden/>
    <w:unhideWhenUsed/>
    <w:qFormat/>
    <w:uiPriority w:val="99"/>
    <w:rPr>
      <w:color w:val="800080"/>
      <w:u w:val="none"/>
    </w:rPr>
  </w:style>
  <w:style w:type="character" w:styleId="29">
    <w:name w:val="Emphasis"/>
    <w:basedOn w:val="25"/>
    <w:qFormat/>
    <w:uiPriority w:val="20"/>
  </w:style>
  <w:style w:type="character" w:styleId="30">
    <w:name w:val="Hyperlink"/>
    <w:basedOn w:val="25"/>
    <w:unhideWhenUsed/>
    <w:qFormat/>
    <w:uiPriority w:val="99"/>
    <w:rPr>
      <w:color w:val="0000FF"/>
      <w:u w:val="none"/>
    </w:rPr>
  </w:style>
  <w:style w:type="character" w:styleId="31">
    <w:name w:val="footnote reference"/>
    <w:basedOn w:val="25"/>
    <w:qFormat/>
    <w:uiPriority w:val="99"/>
    <w:rPr>
      <w:vertAlign w:val="superscript"/>
    </w:rPr>
  </w:style>
  <w:style w:type="character" w:customStyle="1" w:styleId="32">
    <w:name w:val="标题 3 字符"/>
    <w:basedOn w:val="25"/>
    <w:link w:val="6"/>
    <w:qFormat/>
    <w:uiPriority w:val="0"/>
    <w:rPr>
      <w:rFonts w:ascii="Times New Roman" w:hAnsi="Times New Roman" w:eastAsia="宋体" w:cs="Times New Roman"/>
      <w:b/>
      <w:bCs/>
      <w:kern w:val="0"/>
      <w:sz w:val="32"/>
      <w:szCs w:val="32"/>
    </w:rPr>
  </w:style>
  <w:style w:type="character" w:customStyle="1" w:styleId="33">
    <w:name w:val="标题 2 字符"/>
    <w:link w:val="5"/>
    <w:qFormat/>
    <w:uiPriority w:val="9"/>
    <w:rPr>
      <w:rFonts w:ascii="Times New Roman" w:hAnsi="Times New Roman" w:eastAsia="楷体_GB2312"/>
      <w:b/>
      <w:sz w:val="32"/>
    </w:rPr>
  </w:style>
  <w:style w:type="paragraph" w:customStyle="1" w:styleId="34">
    <w:name w:val="Char"/>
    <w:basedOn w:val="1"/>
    <w:qFormat/>
    <w:uiPriority w:val="0"/>
    <w:pPr>
      <w:widowControl/>
      <w:spacing w:after="160" w:line="240" w:lineRule="exact"/>
      <w:jc w:val="left"/>
    </w:pPr>
    <w:rPr>
      <w:snapToGrid w:val="0"/>
      <w:kern w:val="0"/>
      <w:szCs w:val="21"/>
    </w:rPr>
  </w:style>
  <w:style w:type="character" w:customStyle="1" w:styleId="35">
    <w:name w:val="页眉 字符"/>
    <w:basedOn w:val="25"/>
    <w:link w:val="15"/>
    <w:qFormat/>
    <w:uiPriority w:val="99"/>
    <w:rPr>
      <w:sz w:val="18"/>
      <w:szCs w:val="18"/>
    </w:rPr>
  </w:style>
  <w:style w:type="character" w:customStyle="1" w:styleId="36">
    <w:name w:val="页脚 字符"/>
    <w:basedOn w:val="25"/>
    <w:link w:val="14"/>
    <w:qFormat/>
    <w:uiPriority w:val="99"/>
    <w:rPr>
      <w:sz w:val="18"/>
      <w:szCs w:val="18"/>
    </w:rPr>
  </w:style>
  <w:style w:type="character" w:customStyle="1" w:styleId="37">
    <w:name w:val="页眉 Char"/>
    <w:qFormat/>
    <w:uiPriority w:val="99"/>
    <w:rPr>
      <w:sz w:val="18"/>
      <w:szCs w:val="18"/>
    </w:rPr>
  </w:style>
  <w:style w:type="paragraph" w:customStyle="1" w:styleId="38">
    <w:name w:val="_Style 13"/>
    <w:basedOn w:val="1"/>
    <w:qFormat/>
    <w:uiPriority w:val="0"/>
    <w:rPr>
      <w:rFonts w:eastAsia="宋体" w:cs="Times New Roman"/>
      <w:szCs w:val="20"/>
    </w:rPr>
  </w:style>
  <w:style w:type="character" w:customStyle="1" w:styleId="39">
    <w:name w:val="批注框文本 字符"/>
    <w:basedOn w:val="25"/>
    <w:link w:val="13"/>
    <w:semiHidden/>
    <w:qFormat/>
    <w:uiPriority w:val="99"/>
    <w:rPr>
      <w:sz w:val="18"/>
      <w:szCs w:val="18"/>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2">
    <w:name w:val="正文文本 字符"/>
    <w:basedOn w:val="25"/>
    <w:link w:val="11"/>
    <w:qFormat/>
    <w:uiPriority w:val="99"/>
    <w:rPr>
      <w:kern w:val="2"/>
      <w:sz w:val="21"/>
      <w:szCs w:val="24"/>
    </w:rPr>
  </w:style>
  <w:style w:type="character" w:customStyle="1" w:styleId="43">
    <w:name w:val="font01"/>
    <w:basedOn w:val="25"/>
    <w:qFormat/>
    <w:uiPriority w:val="0"/>
    <w:rPr>
      <w:rFonts w:hint="eastAsia" w:ascii="宋体" w:hAnsi="宋体" w:eastAsia="宋体" w:cs="宋体"/>
      <w:color w:val="000000"/>
      <w:sz w:val="24"/>
      <w:szCs w:val="24"/>
      <w:u w:val="none"/>
    </w:rPr>
  </w:style>
  <w:style w:type="character" w:customStyle="1" w:styleId="44">
    <w:name w:val="font11"/>
    <w:basedOn w:val="25"/>
    <w:qFormat/>
    <w:uiPriority w:val="0"/>
    <w:rPr>
      <w:rFonts w:hint="default" w:ascii="Times New Roman" w:hAnsi="Times New Roman" w:cs="Times New Roman"/>
      <w:color w:val="000000"/>
      <w:sz w:val="24"/>
      <w:szCs w:val="24"/>
      <w:u w:val="none"/>
    </w:rPr>
  </w:style>
  <w:style w:type="character" w:customStyle="1" w:styleId="45">
    <w:name w:val="font21"/>
    <w:basedOn w:val="25"/>
    <w:qFormat/>
    <w:uiPriority w:val="0"/>
    <w:rPr>
      <w:rFonts w:hint="eastAsia" w:ascii="宋体" w:hAnsi="宋体" w:eastAsia="宋体" w:cs="宋体"/>
      <w:color w:val="000000"/>
      <w:sz w:val="24"/>
      <w:szCs w:val="24"/>
      <w:u w:val="none"/>
    </w:rPr>
  </w:style>
  <w:style w:type="character" w:customStyle="1" w:styleId="46">
    <w:name w:val="font41"/>
    <w:basedOn w:val="25"/>
    <w:qFormat/>
    <w:uiPriority w:val="0"/>
    <w:rPr>
      <w:rFonts w:hint="eastAsia" w:ascii="宋体" w:hAnsi="宋体" w:eastAsia="宋体" w:cs="宋体"/>
      <w:color w:val="000000"/>
      <w:sz w:val="24"/>
      <w:szCs w:val="24"/>
      <w:u w:val="none"/>
    </w:rPr>
  </w:style>
  <w:style w:type="character" w:customStyle="1" w:styleId="47">
    <w:name w:val="font61"/>
    <w:basedOn w:val="25"/>
    <w:qFormat/>
    <w:uiPriority w:val="0"/>
    <w:rPr>
      <w:rFonts w:ascii="仿宋_GB2312" w:eastAsia="仿宋_GB2312" w:cs="仿宋_GB2312"/>
      <w:b/>
      <w:bCs/>
      <w:color w:val="000000"/>
      <w:sz w:val="18"/>
      <w:szCs w:val="18"/>
      <w:u w:val="none"/>
    </w:rPr>
  </w:style>
  <w:style w:type="character" w:customStyle="1" w:styleId="48">
    <w:name w:val="font151"/>
    <w:basedOn w:val="25"/>
    <w:qFormat/>
    <w:uiPriority w:val="0"/>
    <w:rPr>
      <w:rFonts w:hint="eastAsia" w:ascii="仿宋_GB2312" w:eastAsia="仿宋_GB2312" w:cs="仿宋_GB2312"/>
      <w:b/>
      <w:bCs/>
      <w:color w:val="000000"/>
      <w:sz w:val="18"/>
      <w:szCs w:val="18"/>
      <w:u w:val="none"/>
    </w:rPr>
  </w:style>
  <w:style w:type="character" w:customStyle="1" w:styleId="49">
    <w:name w:val="font31"/>
    <w:basedOn w:val="25"/>
    <w:qFormat/>
    <w:uiPriority w:val="0"/>
    <w:rPr>
      <w:rFonts w:hint="default" w:ascii="Times New Roman" w:hAnsi="Times New Roman" w:cs="Times New Roman"/>
      <w:b/>
      <w:bCs/>
      <w:color w:val="000000"/>
      <w:sz w:val="18"/>
      <w:szCs w:val="18"/>
      <w:u w:val="none"/>
    </w:rPr>
  </w:style>
  <w:style w:type="character" w:customStyle="1" w:styleId="50">
    <w:name w:val="font161"/>
    <w:basedOn w:val="25"/>
    <w:qFormat/>
    <w:uiPriority w:val="0"/>
    <w:rPr>
      <w:rFonts w:hint="eastAsia" w:ascii="仿宋_GB2312" w:eastAsia="仿宋_GB2312" w:cs="仿宋_GB2312"/>
      <w:b/>
      <w:bCs/>
      <w:color w:val="000000"/>
      <w:sz w:val="18"/>
      <w:szCs w:val="18"/>
      <w:u w:val="none"/>
    </w:rPr>
  </w:style>
  <w:style w:type="character" w:customStyle="1" w:styleId="51">
    <w:name w:val="font171"/>
    <w:basedOn w:val="25"/>
    <w:qFormat/>
    <w:uiPriority w:val="0"/>
    <w:rPr>
      <w:rFonts w:hint="eastAsia" w:ascii="仿宋_GB2312" w:eastAsia="仿宋_GB2312" w:cs="仿宋_GB2312"/>
      <w:color w:val="000000"/>
      <w:sz w:val="18"/>
      <w:szCs w:val="18"/>
      <w:u w:val="none"/>
    </w:rPr>
  </w:style>
  <w:style w:type="character" w:customStyle="1" w:styleId="52">
    <w:name w:val="font71"/>
    <w:basedOn w:val="25"/>
    <w:qFormat/>
    <w:uiPriority w:val="0"/>
    <w:rPr>
      <w:rFonts w:hint="default" w:ascii="Times New Roman" w:hAnsi="Times New Roman" w:cs="Times New Roman"/>
      <w:color w:val="000000"/>
      <w:sz w:val="18"/>
      <w:szCs w:val="18"/>
      <w:u w:val="none"/>
    </w:rPr>
  </w:style>
  <w:style w:type="character" w:customStyle="1" w:styleId="53">
    <w:name w:val="font181"/>
    <w:basedOn w:val="25"/>
    <w:qFormat/>
    <w:uiPriority w:val="0"/>
    <w:rPr>
      <w:rFonts w:hint="eastAsia" w:ascii="宋体" w:hAnsi="宋体" w:eastAsia="宋体" w:cs="宋体"/>
      <w:color w:val="000000"/>
      <w:sz w:val="18"/>
      <w:szCs w:val="18"/>
      <w:u w:val="none"/>
    </w:rPr>
  </w:style>
  <w:style w:type="character" w:customStyle="1" w:styleId="54">
    <w:name w:val="font191"/>
    <w:basedOn w:val="25"/>
    <w:qFormat/>
    <w:uiPriority w:val="0"/>
    <w:rPr>
      <w:rFonts w:hint="eastAsia" w:ascii="仿宋_GB2312" w:eastAsia="仿宋_GB2312" w:cs="仿宋_GB2312"/>
      <w:color w:val="000000"/>
      <w:sz w:val="20"/>
      <w:szCs w:val="20"/>
      <w:u w:val="none"/>
    </w:rPr>
  </w:style>
  <w:style w:type="character" w:customStyle="1" w:styleId="55">
    <w:name w:val="font91"/>
    <w:basedOn w:val="25"/>
    <w:qFormat/>
    <w:uiPriority w:val="0"/>
    <w:rPr>
      <w:rFonts w:hint="default" w:ascii="Times New Roman" w:hAnsi="Times New Roman" w:cs="Times New Roman"/>
      <w:color w:val="000000"/>
      <w:sz w:val="20"/>
      <w:szCs w:val="20"/>
      <w:u w:val="none"/>
    </w:rPr>
  </w:style>
  <w:style w:type="character" w:customStyle="1" w:styleId="56">
    <w:name w:val="font201"/>
    <w:basedOn w:val="25"/>
    <w:qFormat/>
    <w:uiPriority w:val="0"/>
    <w:rPr>
      <w:rFonts w:hint="eastAsia" w:ascii="宋体" w:hAnsi="宋体" w:eastAsia="宋体" w:cs="宋体"/>
      <w:color w:val="000000"/>
      <w:sz w:val="18"/>
      <w:szCs w:val="18"/>
      <w:u w:val="none"/>
    </w:rPr>
  </w:style>
  <w:style w:type="character" w:customStyle="1" w:styleId="57">
    <w:name w:val="font212"/>
    <w:basedOn w:val="25"/>
    <w:qFormat/>
    <w:uiPriority w:val="0"/>
    <w:rPr>
      <w:rFonts w:hint="default" w:ascii="Times New Roman" w:hAnsi="Times New Roman" w:cs="Times New Roman"/>
      <w:color w:val="000000"/>
      <w:sz w:val="22"/>
      <w:szCs w:val="22"/>
      <w:u w:val="none"/>
    </w:rPr>
  </w:style>
  <w:style w:type="character" w:customStyle="1" w:styleId="58">
    <w:name w:val="font221"/>
    <w:basedOn w:val="25"/>
    <w:qFormat/>
    <w:uiPriority w:val="0"/>
    <w:rPr>
      <w:rFonts w:hint="eastAsia" w:ascii="宋体" w:hAnsi="宋体" w:eastAsia="宋体" w:cs="宋体"/>
      <w:color w:val="000000"/>
      <w:sz w:val="20"/>
      <w:szCs w:val="20"/>
      <w:u w:val="none"/>
    </w:rPr>
  </w:style>
  <w:style w:type="character" w:customStyle="1" w:styleId="59">
    <w:name w:val="font101"/>
    <w:basedOn w:val="25"/>
    <w:qFormat/>
    <w:uiPriority w:val="0"/>
    <w:rPr>
      <w:rFonts w:hint="default" w:ascii="Times New Roman" w:hAnsi="Times New Roman" w:cs="Times New Roman"/>
      <w:color w:val="000000"/>
      <w:sz w:val="18"/>
      <w:szCs w:val="18"/>
      <w:u w:val="none"/>
    </w:rPr>
  </w:style>
  <w:style w:type="paragraph" w:customStyle="1" w:styleId="60">
    <w:name w:val="工信院正文"/>
    <w:basedOn w:val="1"/>
    <w:qFormat/>
    <w:uiPriority w:val="0"/>
    <w:pPr>
      <w:spacing w:line="600" w:lineRule="exact"/>
    </w:pPr>
    <w:rPr>
      <w:rFonts w:cs="Times New Roman"/>
      <w:szCs w:val="32"/>
      <w:lang w:val="zh-CN"/>
    </w:rPr>
  </w:style>
  <w:style w:type="paragraph" w:customStyle="1" w:styleId="61">
    <w:name w:val="正文1"/>
    <w:basedOn w:val="1"/>
    <w:qFormat/>
    <w:uiPriority w:val="0"/>
    <w:rPr>
      <w:rFonts w:eastAsia="楷体"/>
      <w:color w:val="000000"/>
      <w:sz w:val="24"/>
      <w:szCs w:val="30"/>
    </w:rPr>
  </w:style>
  <w:style w:type="character" w:customStyle="1" w:styleId="62">
    <w:name w:val="choosename"/>
    <w:basedOn w:val="25"/>
    <w:qFormat/>
    <w:uiPriority w:val="0"/>
  </w:style>
  <w:style w:type="character" w:customStyle="1" w:styleId="63">
    <w:name w:val="gwds_nopic"/>
    <w:basedOn w:val="25"/>
    <w:qFormat/>
    <w:uiPriority w:val="0"/>
  </w:style>
  <w:style w:type="character" w:customStyle="1" w:styleId="64">
    <w:name w:val="gwds_nopic1"/>
    <w:basedOn w:val="25"/>
    <w:qFormat/>
    <w:uiPriority w:val="0"/>
  </w:style>
  <w:style w:type="character" w:customStyle="1" w:styleId="65">
    <w:name w:val="gwds_nopic2"/>
    <w:basedOn w:val="25"/>
    <w:qFormat/>
    <w:uiPriority w:val="0"/>
  </w:style>
  <w:style w:type="character" w:customStyle="1" w:styleId="66">
    <w:name w:val="font81"/>
    <w:basedOn w:val="25"/>
    <w:qFormat/>
    <w:uiPriority w:val="0"/>
    <w:rPr>
      <w:rFonts w:hint="default" w:ascii="Times New Roman" w:hAnsi="Times New Roman" w:cs="Times New Roman"/>
      <w:color w:val="000000"/>
      <w:sz w:val="18"/>
      <w:szCs w:val="18"/>
      <w:u w:val="none"/>
    </w:rPr>
  </w:style>
  <w:style w:type="character" w:customStyle="1" w:styleId="67">
    <w:name w:val="font241"/>
    <w:basedOn w:val="25"/>
    <w:qFormat/>
    <w:uiPriority w:val="0"/>
    <w:rPr>
      <w:rFonts w:hint="eastAsia" w:ascii="仿宋_GB2312" w:eastAsia="仿宋_GB2312" w:cs="仿宋_GB2312"/>
      <w:color w:val="000000"/>
      <w:sz w:val="18"/>
      <w:szCs w:val="18"/>
      <w:u w:val="none"/>
    </w:rPr>
  </w:style>
  <w:style w:type="character" w:customStyle="1" w:styleId="68">
    <w:name w:val="font112"/>
    <w:basedOn w:val="25"/>
    <w:qFormat/>
    <w:uiPriority w:val="0"/>
    <w:rPr>
      <w:rFonts w:hint="eastAsia" w:ascii="宋体" w:hAnsi="宋体" w:eastAsia="宋体" w:cs="宋体"/>
      <w:color w:val="000000"/>
      <w:sz w:val="18"/>
      <w:szCs w:val="18"/>
      <w:u w:val="none"/>
    </w:rPr>
  </w:style>
  <w:style w:type="character" w:customStyle="1" w:styleId="69">
    <w:name w:val="font251"/>
    <w:basedOn w:val="25"/>
    <w:qFormat/>
    <w:uiPriority w:val="0"/>
    <w:rPr>
      <w:rFonts w:hint="eastAsia" w:ascii="仿宋_GB2312" w:eastAsia="仿宋_GB2312" w:cs="仿宋_GB2312"/>
      <w:color w:val="000000"/>
      <w:sz w:val="18"/>
      <w:szCs w:val="18"/>
      <w:u w:val="none"/>
    </w:rPr>
  </w:style>
  <w:style w:type="character" w:customStyle="1" w:styleId="70">
    <w:name w:val="font121"/>
    <w:basedOn w:val="25"/>
    <w:qFormat/>
    <w:uiPriority w:val="0"/>
    <w:rPr>
      <w:rFonts w:hint="default" w:ascii="Times New Roman" w:hAnsi="Times New Roman" w:cs="Times New Roman"/>
      <w:color w:val="000000"/>
      <w:sz w:val="18"/>
      <w:szCs w:val="18"/>
      <w:u w:val="none"/>
    </w:rPr>
  </w:style>
  <w:style w:type="character" w:customStyle="1" w:styleId="71">
    <w:name w:val="font261"/>
    <w:basedOn w:val="25"/>
    <w:qFormat/>
    <w:uiPriority w:val="0"/>
    <w:rPr>
      <w:rFonts w:hint="eastAsia" w:ascii="宋体" w:hAnsi="宋体" w:eastAsia="宋体" w:cs="宋体"/>
      <w:color w:val="000000"/>
      <w:sz w:val="18"/>
      <w:szCs w:val="18"/>
      <w:u w:val="none"/>
    </w:rPr>
  </w:style>
  <w:style w:type="character" w:customStyle="1" w:styleId="72">
    <w:name w:val="font271"/>
    <w:basedOn w:val="25"/>
    <w:qFormat/>
    <w:uiPriority w:val="0"/>
    <w:rPr>
      <w:rFonts w:hint="eastAsia" w:ascii="宋体" w:hAnsi="宋体" w:eastAsia="宋体" w:cs="宋体"/>
      <w:color w:val="000000"/>
      <w:sz w:val="18"/>
      <w:szCs w:val="18"/>
      <w:u w:val="none"/>
    </w:rPr>
  </w:style>
  <w:style w:type="character" w:customStyle="1" w:styleId="73">
    <w:name w:val="font281"/>
    <w:basedOn w:val="25"/>
    <w:qFormat/>
    <w:uiPriority w:val="0"/>
    <w:rPr>
      <w:rFonts w:hint="eastAsia" w:ascii="宋体" w:hAnsi="宋体" w:eastAsia="宋体" w:cs="宋体"/>
      <w:color w:val="000000"/>
      <w:sz w:val="18"/>
      <w:szCs w:val="18"/>
      <w:u w:val="none"/>
    </w:rPr>
  </w:style>
  <w:style w:type="character" w:customStyle="1" w:styleId="74">
    <w:name w:val="font291"/>
    <w:basedOn w:val="25"/>
    <w:qFormat/>
    <w:uiPriority w:val="0"/>
    <w:rPr>
      <w:rFonts w:hint="eastAsia" w:ascii="仿宋_GB2312" w:eastAsia="仿宋_GB2312" w:cs="仿宋_GB2312"/>
      <w:color w:val="000000"/>
      <w:sz w:val="20"/>
      <w:szCs w:val="20"/>
      <w:u w:val="none"/>
    </w:rPr>
  </w:style>
  <w:style w:type="character" w:customStyle="1" w:styleId="75">
    <w:name w:val="font301"/>
    <w:basedOn w:val="25"/>
    <w:qFormat/>
    <w:uiPriority w:val="0"/>
    <w:rPr>
      <w:rFonts w:hint="eastAsia" w:ascii="宋体" w:hAnsi="宋体" w:eastAsia="宋体" w:cs="宋体"/>
      <w:color w:val="000000"/>
      <w:sz w:val="20"/>
      <w:szCs w:val="20"/>
      <w:u w:val="none"/>
    </w:rPr>
  </w:style>
  <w:style w:type="character" w:customStyle="1" w:styleId="76">
    <w:name w:val="font311"/>
    <w:basedOn w:val="25"/>
    <w:qFormat/>
    <w:uiPriority w:val="0"/>
    <w:rPr>
      <w:rFonts w:hint="eastAsia" w:ascii="仿宋_GB2312" w:eastAsia="仿宋_GB2312" w:cs="仿宋_GB2312"/>
      <w:b/>
      <w:bCs/>
      <w:color w:val="000000"/>
      <w:sz w:val="18"/>
      <w:szCs w:val="18"/>
      <w:u w:val="none"/>
    </w:rPr>
  </w:style>
  <w:style w:type="character" w:customStyle="1" w:styleId="77">
    <w:name w:val="font322"/>
    <w:basedOn w:val="25"/>
    <w:qFormat/>
    <w:uiPriority w:val="0"/>
    <w:rPr>
      <w:rFonts w:hint="default" w:ascii="Times New Roman" w:hAnsi="Times New Roman" w:cs="Times New Roman"/>
      <w:color w:val="000000"/>
      <w:sz w:val="22"/>
      <w:szCs w:val="22"/>
      <w:u w:val="none"/>
    </w:rPr>
  </w:style>
  <w:style w:type="character" w:customStyle="1" w:styleId="78">
    <w:name w:val="font131"/>
    <w:basedOn w:val="25"/>
    <w:qFormat/>
    <w:uiPriority w:val="0"/>
    <w:rPr>
      <w:rFonts w:hint="default" w:ascii="Times New Roman" w:hAnsi="Times New Roman" w:cs="Times New Roman"/>
      <w:color w:val="000000"/>
      <w:sz w:val="18"/>
      <w:szCs w:val="18"/>
      <w:u w:val="none"/>
    </w:rPr>
  </w:style>
  <w:style w:type="character" w:customStyle="1" w:styleId="79">
    <w:name w:val="font141"/>
    <w:basedOn w:val="25"/>
    <w:qFormat/>
    <w:uiPriority w:val="0"/>
    <w:rPr>
      <w:rFonts w:hint="default" w:ascii="Times New Roman" w:hAnsi="Times New Roman" w:cs="Times New Roman"/>
      <w:color w:val="000000"/>
      <w:sz w:val="18"/>
      <w:szCs w:val="18"/>
      <w:u w:val="none"/>
    </w:rPr>
  </w:style>
  <w:style w:type="paragraph" w:customStyle="1" w:styleId="80">
    <w:name w:val="p0"/>
    <w:basedOn w:val="1"/>
    <w:qFormat/>
    <w:uiPriority w:val="0"/>
    <w:pPr>
      <w:widowControl/>
    </w:pPr>
    <w:rPr>
      <w:rFonts w:ascii="仿宋_GB2312" w:hAnsi="宋体" w:cs="仿宋_GB2312"/>
      <w:kern w:val="0"/>
      <w:szCs w:val="32"/>
    </w:rPr>
  </w:style>
  <w:style w:type="character" w:customStyle="1" w:styleId="81">
    <w:name w:val="font51"/>
    <w:basedOn w:val="25"/>
    <w:qFormat/>
    <w:uiPriority w:val="0"/>
    <w:rPr>
      <w:rFonts w:hint="eastAsia" w:ascii="仿宋_GB2312" w:eastAsia="仿宋_GB2312" w:cs="仿宋_GB2312"/>
      <w:color w:val="000000"/>
      <w:sz w:val="18"/>
      <w:szCs w:val="18"/>
      <w:u w:val="none"/>
    </w:rPr>
  </w:style>
  <w:style w:type="character" w:customStyle="1" w:styleId="82">
    <w:name w:val="font132"/>
    <w:basedOn w:val="25"/>
    <w:qFormat/>
    <w:uiPriority w:val="0"/>
    <w:rPr>
      <w:rFonts w:hint="eastAsia" w:ascii="仿宋_GB2312" w:eastAsia="仿宋_GB2312" w:cs="仿宋_GB2312"/>
      <w:color w:val="000000"/>
      <w:sz w:val="22"/>
      <w:szCs w:val="22"/>
      <w:u w:val="none"/>
    </w:rPr>
  </w:style>
  <w:style w:type="character" w:customStyle="1" w:styleId="83">
    <w:name w:val="font122"/>
    <w:basedOn w:val="25"/>
    <w:qFormat/>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wjj\Desktop\&#26032;&#24314;%20XLSX%20&#24037;&#20316;&#34920;%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45990466330871"/>
          <c:y val="0.0761905015841358"/>
          <c:w val="0.866044250325403"/>
          <c:h val="0.73893321299278"/>
        </c:manualLayout>
      </c:layout>
      <c:barChart>
        <c:barDir val="col"/>
        <c:grouping val="clustered"/>
        <c:varyColors val="0"/>
        <c:ser>
          <c:idx val="0"/>
          <c:order val="0"/>
          <c:tx>
            <c:strRef>
              <c:f>'[新建 XLSX 工作表 (3).xlsx]Sheet1'!$I$25</c:f>
              <c:strCache>
                <c:ptCount val="1"/>
                <c:pt idx="0">
                  <c:v>投资总量（亿元）</c:v>
                </c:pt>
              </c:strCache>
            </c:strRef>
          </c:tx>
          <c:spPr>
            <a:solidFill>
              <a:schemeClr val="accent1"/>
            </a:solidFill>
            <a:ln>
              <a:noFill/>
            </a:ln>
            <a:effectLst/>
          </c:spPr>
          <c:invertIfNegative val="0"/>
          <c:dLbls>
            <c:delete val="1"/>
          </c:dLbls>
          <c:cat>
            <c:numRef>
              <c:f>'[新建 XLSX 工作表 (3).xlsx]Sheet1'!$H$26:$H$30</c:f>
              <c:numCache>
                <c:formatCode>General</c:formatCode>
                <c:ptCount val="5"/>
                <c:pt idx="0">
                  <c:v>2016</c:v>
                </c:pt>
                <c:pt idx="1">
                  <c:v>2017</c:v>
                </c:pt>
                <c:pt idx="2">
                  <c:v>2018</c:v>
                </c:pt>
                <c:pt idx="3">
                  <c:v>2019</c:v>
                </c:pt>
                <c:pt idx="4">
                  <c:v>2020</c:v>
                </c:pt>
              </c:numCache>
            </c:numRef>
          </c:cat>
          <c:val>
            <c:numRef>
              <c:f>'[新建 XLSX 工作表 (3).xlsx]Sheet1'!$I$26:$I$30</c:f>
              <c:numCache>
                <c:formatCode>General</c:formatCode>
                <c:ptCount val="5"/>
                <c:pt idx="0">
                  <c:v>46.57</c:v>
                </c:pt>
                <c:pt idx="1">
                  <c:v>49.8</c:v>
                </c:pt>
                <c:pt idx="2">
                  <c:v>27.44</c:v>
                </c:pt>
                <c:pt idx="3">
                  <c:v>31.04</c:v>
                </c:pt>
                <c:pt idx="4">
                  <c:v>33.61</c:v>
                </c:pt>
              </c:numCache>
            </c:numRef>
          </c:val>
        </c:ser>
        <c:dLbls>
          <c:showLegendKey val="0"/>
          <c:showVal val="0"/>
          <c:showCatName val="0"/>
          <c:showSerName val="0"/>
          <c:showPercent val="0"/>
          <c:showBubbleSize val="0"/>
        </c:dLbls>
        <c:gapWidth val="219"/>
        <c:overlap val="-27"/>
        <c:axId val="1528355679"/>
        <c:axId val="1536974431"/>
      </c:barChart>
      <c:lineChart>
        <c:grouping val="standard"/>
        <c:varyColors val="0"/>
        <c:ser>
          <c:idx val="1"/>
          <c:order val="1"/>
          <c:tx>
            <c:strRef>
              <c:f>'[新建 XLSX 工作表 (3).xlsx]Sheet1'!$J$25</c:f>
              <c:strCache>
                <c:ptCount val="1"/>
                <c:pt idx="0">
                  <c:v>投资增速（%）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'[新建 XLSX 工作表 (3).xlsx]Sheet1'!$H$26:$H$30</c:f>
              <c:numCache>
                <c:formatCode>General</c:formatCode>
                <c:ptCount val="5"/>
                <c:pt idx="0">
                  <c:v>2016</c:v>
                </c:pt>
                <c:pt idx="1">
                  <c:v>2017</c:v>
                </c:pt>
                <c:pt idx="2">
                  <c:v>2018</c:v>
                </c:pt>
                <c:pt idx="3">
                  <c:v>2019</c:v>
                </c:pt>
                <c:pt idx="4">
                  <c:v>2020</c:v>
                </c:pt>
              </c:numCache>
            </c:numRef>
          </c:cat>
          <c:val>
            <c:numRef>
              <c:f>'[新建 XLSX 工作表 (3).xlsx]Sheet1'!$J$26:$J$30</c:f>
              <c:numCache>
                <c:formatCode>General</c:formatCode>
                <c:ptCount val="5"/>
                <c:pt idx="0">
                  <c:v>11.6</c:v>
                </c:pt>
                <c:pt idx="1">
                  <c:v>13.1</c:v>
                </c:pt>
                <c:pt idx="2">
                  <c:v>7</c:v>
                </c:pt>
                <c:pt idx="3">
                  <c:v>13.1</c:v>
                </c:pt>
                <c:pt idx="4">
                  <c:v>8.3</c:v>
                </c:pt>
              </c:numCache>
            </c:numRef>
          </c:val>
          <c:smooth val="0"/>
        </c:ser>
        <c:dLbls>
          <c:showLegendKey val="0"/>
          <c:showVal val="0"/>
          <c:showCatName val="0"/>
          <c:showSerName val="0"/>
          <c:showPercent val="0"/>
          <c:showBubbleSize val="0"/>
        </c:dLbls>
        <c:marker val="1"/>
        <c:smooth val="0"/>
        <c:axId val="1560546623"/>
        <c:axId val="1560539135"/>
      </c:lineChart>
      <c:catAx>
        <c:axId val="1528355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536974431"/>
        <c:crosses val="autoZero"/>
        <c:auto val="1"/>
        <c:lblAlgn val="ctr"/>
        <c:lblOffset val="100"/>
        <c:noMultiLvlLbl val="0"/>
      </c:catAx>
      <c:valAx>
        <c:axId val="1536974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528355679"/>
        <c:crosses val="autoZero"/>
        <c:crossBetween val="between"/>
      </c:valAx>
      <c:catAx>
        <c:axId val="1560546623"/>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560539135"/>
        <c:crosses val="autoZero"/>
        <c:auto val="1"/>
        <c:lblAlgn val="ctr"/>
        <c:lblOffset val="100"/>
        <c:noMultiLvlLbl val="0"/>
      </c:catAx>
      <c:valAx>
        <c:axId val="1560539135"/>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560546623"/>
        <c:crosses val="max"/>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cs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50002-B25B-48D5-BFCB-EFECFA1A974F}">
  <ds:schemaRefs/>
</ds:datastoreItem>
</file>

<file path=docProps/app.xml><?xml version="1.0" encoding="utf-8"?>
<Properties xmlns="http://schemas.openxmlformats.org/officeDocument/2006/extended-properties" xmlns:vt="http://schemas.openxmlformats.org/officeDocument/2006/docPropsVTypes">
  <Template>Normal.dotm</Template>
  <Pages>61</Pages>
  <Words>6675</Words>
  <Characters>38052</Characters>
  <Lines>317</Lines>
  <Paragraphs>89</Paragraphs>
  <TotalTime>1398</TotalTime>
  <ScaleCrop>false</ScaleCrop>
  <LinksUpToDate>false</LinksUpToDate>
  <CharactersWithSpaces>44638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2021-08-06T07:25:00Z</dcterms:created>
  <dc:creator>李浩</dc:creator>
  <cp:lastModifiedBy>兰林俊</cp:lastModifiedBy>
  <cp:lastPrinted>2021-11-25T02:27:00Z</cp:lastPrinted>
  <dcterms:modified xsi:type="dcterms:W3CDTF">2021-12-05T01:34:17Z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F681B6B5EFC1479F88BF5E216AA87BEE</vt:lpwstr>
  </property>
</Properties>
</file>