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0" w:firstLineChars="0"/>
        <w:jc w:val="center"/>
        <w:rPr>
          <w:rFonts w:ascii="仿宋" w:hAnsi="仿宋" w:eastAsia="仿宋" w:cs="仿宋"/>
          <w:b/>
          <w:bCs/>
          <w:color w:val="000000" w:themeColor="text1"/>
          <w:sz w:val="48"/>
          <w:szCs w:val="48"/>
          <w14:textFill>
            <w14:solidFill>
              <w14:schemeClr w14:val="tx1"/>
            </w14:solidFill>
          </w14:textFill>
        </w:rPr>
      </w:pPr>
      <w:bookmarkStart w:id="0" w:name="_Hlk39927955"/>
    </w:p>
    <w:p>
      <w:pPr>
        <w:widowControl w:val="0"/>
        <w:ind w:firstLine="0" w:firstLineChars="0"/>
        <w:jc w:val="center"/>
        <w:rPr>
          <w:rFonts w:ascii="仿宋" w:hAnsi="仿宋" w:eastAsia="仿宋" w:cs="仿宋"/>
          <w:b/>
          <w:bCs/>
          <w:color w:val="000000" w:themeColor="text1"/>
          <w:sz w:val="48"/>
          <w:szCs w:val="48"/>
          <w14:textFill>
            <w14:solidFill>
              <w14:schemeClr w14:val="tx1"/>
            </w14:solidFill>
          </w14:textFill>
        </w:rPr>
      </w:pPr>
    </w:p>
    <w:p>
      <w:pPr>
        <w:pStyle w:val="53"/>
        <w:spacing w:line="360" w:lineRule="auto"/>
        <w:rPr>
          <w:rFonts w:hint="default" w:ascii="Times New Roman"/>
          <w:color w:val="000000" w:themeColor="text1"/>
          <w:szCs w:val="44"/>
          <w14:textFill>
            <w14:solidFill>
              <w14:schemeClr w14:val="tx1"/>
            </w14:solidFill>
          </w14:textFill>
        </w:rPr>
      </w:pPr>
      <w:r>
        <w:rPr>
          <w:rFonts w:hint="eastAsia" w:ascii="Times New Roman"/>
          <w:color w:val="000000" w:themeColor="text1"/>
          <w:szCs w:val="44"/>
          <w:lang w:eastAsia="zh-CN"/>
          <w14:textFill>
            <w14:solidFill>
              <w14:schemeClr w14:val="tx1"/>
            </w14:solidFill>
          </w14:textFill>
        </w:rPr>
        <w:t>云和县</w:t>
      </w:r>
      <w:r>
        <w:rPr>
          <w:rFonts w:ascii="Times New Roman"/>
          <w:color w:val="000000" w:themeColor="text1"/>
          <w:szCs w:val="44"/>
          <w14:textFill>
            <w14:solidFill>
              <w14:schemeClr w14:val="tx1"/>
            </w14:solidFill>
          </w14:textFill>
        </w:rPr>
        <w:t>“十四五”</w:t>
      </w:r>
      <w:r>
        <w:rPr>
          <w:rFonts w:hint="eastAsia" w:ascii="Times New Roman"/>
          <w:color w:val="000000" w:themeColor="text1"/>
          <w:szCs w:val="44"/>
          <w:lang w:val="en-US" w:eastAsia="zh-CN"/>
          <w14:textFill>
            <w14:solidFill>
              <w14:schemeClr w14:val="tx1"/>
            </w14:solidFill>
          </w14:textFill>
        </w:rPr>
        <w:t>水利发展</w:t>
      </w:r>
      <w:r>
        <w:rPr>
          <w:rFonts w:ascii="Times New Roman"/>
          <w:color w:val="000000" w:themeColor="text1"/>
          <w:szCs w:val="44"/>
          <w14:textFill>
            <w14:solidFill>
              <w14:schemeClr w14:val="tx1"/>
            </w14:solidFill>
          </w14:textFill>
        </w:rPr>
        <w:t>规划</w:t>
      </w:r>
    </w:p>
    <w:bookmarkEnd w:id="0"/>
    <w:p>
      <w:pPr>
        <w:pStyle w:val="53"/>
        <w:spacing w:line="360" w:lineRule="auto"/>
        <w:rPr>
          <w:rFonts w:hint="default" w:ascii="Times New Roman"/>
          <w:color w:val="000000" w:themeColor="text1"/>
          <w:szCs w:val="44"/>
          <w14:textFill>
            <w14:solidFill>
              <w14:schemeClr w14:val="tx1"/>
            </w14:solidFill>
          </w14:textFill>
        </w:rPr>
      </w:pPr>
      <w:r>
        <w:rPr>
          <w:rFonts w:ascii="Times New Roman"/>
          <w:color w:val="000000" w:themeColor="text1"/>
          <w:szCs w:val="44"/>
          <w14:textFill>
            <w14:solidFill>
              <w14:schemeClr w14:val="tx1"/>
            </w14:solidFill>
          </w14:textFill>
        </w:rPr>
        <w:t>（</w:t>
      </w:r>
      <w:r>
        <w:rPr>
          <w:rFonts w:hint="eastAsia" w:ascii="Times New Roman"/>
          <w:color w:val="000000" w:themeColor="text1"/>
          <w:szCs w:val="44"/>
          <w:lang w:val="en-US" w:eastAsia="zh-CN"/>
          <w14:textFill>
            <w14:solidFill>
              <w14:schemeClr w14:val="tx1"/>
            </w14:solidFill>
          </w14:textFill>
        </w:rPr>
        <w:t>报批稿</w:t>
      </w:r>
      <w:r>
        <w:rPr>
          <w:rFonts w:ascii="Times New Roman"/>
          <w:color w:val="000000" w:themeColor="text1"/>
          <w:szCs w:val="44"/>
          <w14:textFill>
            <w14:solidFill>
              <w14:schemeClr w14:val="tx1"/>
            </w14:solidFill>
          </w14:textFill>
        </w:rPr>
        <w:t>）</w:t>
      </w:r>
    </w:p>
    <w:p>
      <w:pPr>
        <w:widowControl w:val="0"/>
        <w:ind w:firstLine="0" w:firstLineChars="0"/>
        <w:jc w:val="center"/>
        <w:rPr>
          <w:rFonts w:ascii="仿宋" w:hAnsi="仿宋" w:eastAsia="仿宋" w:cs="仿宋"/>
          <w:b/>
          <w:bCs/>
          <w:color w:val="000000" w:themeColor="text1"/>
          <w:sz w:val="48"/>
          <w:szCs w:val="48"/>
          <w14:textFill>
            <w14:solidFill>
              <w14:schemeClr w14:val="tx1"/>
            </w14:solidFill>
          </w14:textFill>
        </w:rPr>
      </w:pPr>
    </w:p>
    <w:p>
      <w:pPr>
        <w:widowControl w:val="0"/>
        <w:ind w:firstLine="0" w:firstLineChars="0"/>
        <w:jc w:val="center"/>
        <w:rPr>
          <w:rFonts w:ascii="仿宋" w:hAnsi="仿宋" w:eastAsia="仿宋" w:cs="仿宋"/>
          <w:b/>
          <w:bCs/>
          <w:color w:val="000000" w:themeColor="text1"/>
          <w:sz w:val="48"/>
          <w:szCs w:val="48"/>
          <w14:textFill>
            <w14:solidFill>
              <w14:schemeClr w14:val="tx1"/>
            </w14:solidFill>
          </w14:textFill>
        </w:rPr>
      </w:pPr>
    </w:p>
    <w:p>
      <w:pPr>
        <w:widowControl w:val="0"/>
        <w:ind w:left="-79" w:firstLine="18" w:firstLineChars="4"/>
        <w:jc w:val="center"/>
        <w:rPr>
          <w:rFonts w:ascii="仿宋" w:hAnsi="仿宋" w:eastAsia="仿宋" w:cs="仿宋"/>
          <w:b/>
          <w:color w:val="000000" w:themeColor="text1"/>
          <w:sz w:val="44"/>
          <w:szCs w:val="44"/>
          <w14:textFill>
            <w14:solidFill>
              <w14:schemeClr w14:val="tx1"/>
            </w14:solidFill>
          </w14:textFill>
        </w:rPr>
      </w:pPr>
    </w:p>
    <w:p>
      <w:pPr>
        <w:widowControl w:val="0"/>
        <w:ind w:left="-79" w:firstLine="19" w:firstLineChars="4"/>
        <w:jc w:val="center"/>
        <w:rPr>
          <w:rFonts w:ascii="仿宋" w:hAnsi="仿宋" w:eastAsia="仿宋" w:cs="仿宋"/>
          <w:color w:val="000000" w:themeColor="text1"/>
          <w:sz w:val="48"/>
          <w:szCs w:val="48"/>
          <w14:textFill>
            <w14:solidFill>
              <w14:schemeClr w14:val="tx1"/>
            </w14:solidFill>
          </w14:textFill>
        </w:rPr>
      </w:pPr>
    </w:p>
    <w:p>
      <w:pPr>
        <w:widowControl w:val="0"/>
        <w:ind w:left="-79" w:firstLine="19" w:firstLineChars="4"/>
        <w:jc w:val="center"/>
        <w:rPr>
          <w:rFonts w:ascii="仿宋" w:hAnsi="仿宋" w:eastAsia="仿宋" w:cs="仿宋"/>
          <w:color w:val="000000" w:themeColor="text1"/>
          <w:sz w:val="48"/>
          <w:szCs w:val="48"/>
          <w14:textFill>
            <w14:solidFill>
              <w14:schemeClr w14:val="tx1"/>
            </w14:solidFill>
          </w14:textFill>
        </w:rPr>
      </w:pPr>
    </w:p>
    <w:p>
      <w:pPr>
        <w:widowControl w:val="0"/>
        <w:ind w:left="-79" w:firstLine="19" w:firstLineChars="4"/>
        <w:jc w:val="center"/>
        <w:rPr>
          <w:rFonts w:ascii="仿宋" w:hAnsi="仿宋" w:eastAsia="仿宋" w:cs="仿宋"/>
          <w:color w:val="000000" w:themeColor="text1"/>
          <w:sz w:val="48"/>
          <w:szCs w:val="48"/>
          <w14:textFill>
            <w14:solidFill>
              <w14:schemeClr w14:val="tx1"/>
            </w14:solidFill>
          </w14:textFill>
        </w:rPr>
      </w:pPr>
    </w:p>
    <w:p>
      <w:pPr>
        <w:widowControl w:val="0"/>
        <w:ind w:left="-79" w:firstLine="19" w:firstLineChars="4"/>
        <w:jc w:val="center"/>
        <w:rPr>
          <w:rFonts w:ascii="仿宋" w:hAnsi="仿宋" w:eastAsia="仿宋" w:cs="仿宋"/>
          <w:color w:val="000000" w:themeColor="text1"/>
          <w:sz w:val="48"/>
          <w:szCs w:val="48"/>
          <w14:textFill>
            <w14:solidFill>
              <w14:schemeClr w14:val="tx1"/>
            </w14:solidFill>
          </w14:textFill>
        </w:rPr>
      </w:pPr>
    </w:p>
    <w:p>
      <w:pPr>
        <w:widowControl w:val="0"/>
        <w:ind w:firstLine="0" w:firstLineChars="0"/>
        <w:jc w:val="center"/>
        <w:rPr>
          <w:rFonts w:hint="default" w:ascii="仿宋" w:hAnsi="仿宋" w:eastAsia="仿宋" w:cs="仿宋"/>
          <w:b/>
          <w:color w:val="000000" w:themeColor="text1"/>
          <w:kern w:val="2"/>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云和县水利局</w:t>
      </w:r>
    </w:p>
    <w:p>
      <w:pPr>
        <w:widowControl w:val="0"/>
        <w:ind w:left="-79" w:firstLine="13" w:firstLineChars="4"/>
        <w:jc w:val="center"/>
        <w:rPr>
          <w:rFonts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b/>
          <w:color w:val="000000" w:themeColor="text1"/>
          <w:kern w:val="2"/>
          <w:sz w:val="32"/>
          <w:szCs w:val="32"/>
          <w14:textFill>
            <w14:solidFill>
              <w14:schemeClr w14:val="tx1"/>
            </w14:solidFill>
          </w14:textFill>
        </w:rPr>
        <w:t>202</w:t>
      </w:r>
      <w:r>
        <w:rPr>
          <w:rFonts w:hint="eastAsia" w:ascii="仿宋" w:hAnsi="仿宋" w:eastAsia="仿宋" w:cs="仿宋"/>
          <w:b/>
          <w:color w:val="000000" w:themeColor="text1"/>
          <w:kern w:val="2"/>
          <w:sz w:val="32"/>
          <w:szCs w:val="32"/>
          <w:lang w:val="en-US" w:eastAsia="zh-CN"/>
          <w14:textFill>
            <w14:solidFill>
              <w14:schemeClr w14:val="tx1"/>
            </w14:solidFill>
          </w14:textFill>
        </w:rPr>
        <w:t>1</w:t>
      </w:r>
      <w:r>
        <w:rPr>
          <w:rFonts w:hint="eastAsia" w:ascii="仿宋" w:hAnsi="仿宋" w:eastAsia="仿宋" w:cs="仿宋"/>
          <w:b/>
          <w:color w:val="000000" w:themeColor="text1"/>
          <w:kern w:val="2"/>
          <w:sz w:val="32"/>
          <w:szCs w:val="32"/>
          <w14:textFill>
            <w14:solidFill>
              <w14:schemeClr w14:val="tx1"/>
            </w14:solidFill>
          </w14:textFill>
        </w:rPr>
        <w:t>年</w:t>
      </w:r>
      <w:r>
        <w:rPr>
          <w:rFonts w:hint="eastAsia" w:ascii="仿宋" w:hAnsi="仿宋" w:eastAsia="仿宋" w:cs="仿宋"/>
          <w:b/>
          <w:color w:val="000000" w:themeColor="text1"/>
          <w:kern w:val="2"/>
          <w:sz w:val="32"/>
          <w:szCs w:val="32"/>
          <w:lang w:val="en-US" w:eastAsia="zh-CN"/>
          <w14:textFill>
            <w14:solidFill>
              <w14:schemeClr w14:val="tx1"/>
            </w14:solidFill>
          </w14:textFill>
        </w:rPr>
        <w:t>10</w:t>
      </w:r>
      <w:r>
        <w:rPr>
          <w:rFonts w:hint="eastAsia" w:ascii="仿宋" w:hAnsi="仿宋" w:eastAsia="仿宋" w:cs="仿宋"/>
          <w:b/>
          <w:color w:val="000000" w:themeColor="text1"/>
          <w:kern w:val="2"/>
          <w:sz w:val="32"/>
          <w:szCs w:val="32"/>
          <w14:textFill>
            <w14:solidFill>
              <w14:schemeClr w14:val="tx1"/>
            </w14:solidFill>
          </w14:textFill>
        </w:rPr>
        <w:t>月</w:t>
      </w:r>
    </w:p>
    <w:p>
      <w:pPr>
        <w:widowControl w:val="0"/>
        <w:ind w:left="-79" w:firstLine="19" w:firstLineChars="4"/>
        <w:jc w:val="center"/>
        <w:rPr>
          <w:rFonts w:ascii="仿宋" w:hAnsi="仿宋" w:eastAsia="仿宋" w:cs="仿宋"/>
          <w:color w:val="000000" w:themeColor="text1"/>
          <w:sz w:val="48"/>
          <w:szCs w:val="48"/>
          <w14:textFill>
            <w14:solidFill>
              <w14:schemeClr w14:val="tx1"/>
            </w14:solidFill>
          </w14:textFill>
        </w:rPr>
        <w:sectPr>
          <w:headerReference r:id="rId7" w:type="first"/>
          <w:headerReference r:id="rId5" w:type="default"/>
          <w:headerReference r:id="rId6" w:type="even"/>
          <w:pgSz w:w="11907" w:h="16840"/>
          <w:pgMar w:top="1474" w:right="1588" w:bottom="1474" w:left="1588" w:header="851" w:footer="851" w:gutter="0"/>
          <w:pgBorders>
            <w:top w:val="none" w:sz="0" w:space="0"/>
            <w:left w:val="none" w:sz="0" w:space="0"/>
            <w:bottom w:val="none" w:sz="0" w:space="0"/>
            <w:right w:val="none" w:sz="0" w:space="0"/>
          </w:pgBorders>
          <w:cols w:space="720" w:num="1"/>
          <w:docGrid w:linePitch="312" w:charSpace="0"/>
        </w:sectPr>
      </w:pPr>
    </w:p>
    <w:p>
      <w:pPr>
        <w:widowControl w:val="0"/>
        <w:ind w:left="-79" w:firstLine="12" w:firstLineChars="4"/>
        <w:jc w:val="center"/>
        <w:rPr>
          <w:rFonts w:ascii="仿宋" w:hAnsi="仿宋" w:eastAsia="仿宋"/>
          <w:color w:val="000000" w:themeColor="text1"/>
          <w:sz w:val="30"/>
          <w:szCs w:val="30"/>
          <w14:textFill>
            <w14:solidFill>
              <w14:schemeClr w14:val="tx1"/>
            </w14:solidFill>
          </w14:textFill>
        </w:rPr>
      </w:pPr>
    </w:p>
    <w:p>
      <w:pPr>
        <w:widowControl w:val="0"/>
        <w:ind w:left="-79" w:firstLine="12" w:firstLineChars="4"/>
        <w:jc w:val="center"/>
        <w:rPr>
          <w:rFonts w:ascii="仿宋" w:hAnsi="仿宋" w:eastAsia="仿宋"/>
          <w:color w:val="000000" w:themeColor="text1"/>
          <w:sz w:val="30"/>
          <w:szCs w:val="30"/>
          <w14:textFill>
            <w14:solidFill>
              <w14:schemeClr w14:val="tx1"/>
            </w14:solidFill>
          </w14:textFill>
        </w:rPr>
      </w:pPr>
    </w:p>
    <w:p>
      <w:pPr>
        <w:pStyle w:val="53"/>
        <w:spacing w:line="360" w:lineRule="auto"/>
        <w:ind w:firstLine="480"/>
        <w:rPr>
          <w:rFonts w:hint="default" w:ascii="Times New Roman"/>
          <w:color w:val="000000" w:themeColor="text1"/>
          <w:szCs w:val="44"/>
          <w14:textFill>
            <w14:solidFill>
              <w14:schemeClr w14:val="tx1"/>
            </w14:solidFill>
          </w14:textFill>
        </w:rPr>
      </w:pPr>
      <w:r>
        <w:rPr>
          <w:rFonts w:hint="eastAsia" w:ascii="Times New Roman"/>
          <w:color w:val="000000" w:themeColor="text1"/>
          <w:szCs w:val="44"/>
          <w:lang w:eastAsia="zh-CN"/>
          <w14:textFill>
            <w14:solidFill>
              <w14:schemeClr w14:val="tx1"/>
            </w14:solidFill>
          </w14:textFill>
        </w:rPr>
        <w:t>云和县</w:t>
      </w:r>
      <w:r>
        <w:rPr>
          <w:rFonts w:ascii="Times New Roman"/>
          <w:color w:val="000000" w:themeColor="text1"/>
          <w:szCs w:val="44"/>
          <w14:textFill>
            <w14:solidFill>
              <w14:schemeClr w14:val="tx1"/>
            </w14:solidFill>
          </w14:textFill>
        </w:rPr>
        <w:t>“十四五”</w:t>
      </w:r>
      <w:r>
        <w:rPr>
          <w:rFonts w:hint="eastAsia" w:ascii="Times New Roman"/>
          <w:color w:val="000000" w:themeColor="text1"/>
          <w:szCs w:val="44"/>
          <w:lang w:val="en-US" w:eastAsia="zh-CN"/>
          <w14:textFill>
            <w14:solidFill>
              <w14:schemeClr w14:val="tx1"/>
            </w14:solidFill>
          </w14:textFill>
        </w:rPr>
        <w:t>水利发展</w:t>
      </w:r>
      <w:r>
        <w:rPr>
          <w:rFonts w:ascii="Times New Roman"/>
          <w:color w:val="000000" w:themeColor="text1"/>
          <w:szCs w:val="44"/>
          <w14:textFill>
            <w14:solidFill>
              <w14:schemeClr w14:val="tx1"/>
            </w14:solidFill>
          </w14:textFill>
        </w:rPr>
        <w:t>规划</w:t>
      </w:r>
    </w:p>
    <w:p>
      <w:pPr>
        <w:pStyle w:val="53"/>
        <w:spacing w:line="360" w:lineRule="auto"/>
        <w:ind w:firstLine="480"/>
        <w:rPr>
          <w:rFonts w:hint="default" w:ascii="Times New Roman"/>
          <w:color w:val="000000" w:themeColor="text1"/>
          <w:szCs w:val="44"/>
          <w14:textFill>
            <w14:solidFill>
              <w14:schemeClr w14:val="tx1"/>
            </w14:solidFill>
          </w14:textFill>
        </w:rPr>
      </w:pPr>
      <w:r>
        <w:rPr>
          <w:rFonts w:ascii="Times New Roman"/>
          <w:color w:val="000000" w:themeColor="text1"/>
          <w:szCs w:val="44"/>
          <w14:textFill>
            <w14:solidFill>
              <w14:schemeClr w14:val="tx1"/>
            </w14:solidFill>
          </w14:textFill>
        </w:rPr>
        <w:t>（</w:t>
      </w:r>
      <w:r>
        <w:rPr>
          <w:rFonts w:hint="eastAsia" w:ascii="Times New Roman"/>
          <w:color w:val="000000" w:themeColor="text1"/>
          <w:szCs w:val="44"/>
          <w:lang w:val="en-US" w:eastAsia="zh-CN"/>
          <w14:textFill>
            <w14:solidFill>
              <w14:schemeClr w14:val="tx1"/>
            </w14:solidFill>
          </w14:textFill>
        </w:rPr>
        <w:t>报批稿</w:t>
      </w:r>
      <w:r>
        <w:rPr>
          <w:rFonts w:ascii="Times New Roman"/>
          <w:color w:val="000000" w:themeColor="text1"/>
          <w:szCs w:val="44"/>
          <w14:textFill>
            <w14:solidFill>
              <w14:schemeClr w14:val="tx1"/>
            </w14:solidFill>
          </w14:textFill>
        </w:rPr>
        <w:t>）</w:t>
      </w:r>
    </w:p>
    <w:p>
      <w:pPr>
        <w:ind w:left="-60" w:firstLine="1988" w:firstLineChars="660"/>
        <w:rPr>
          <w:rFonts w:ascii="仿宋" w:hAnsi="仿宋" w:eastAsia="仿宋"/>
          <w:b/>
          <w:bCs/>
          <w:color w:val="000000" w:themeColor="text1"/>
          <w:sz w:val="30"/>
          <w:szCs w:val="30"/>
          <w14:textFill>
            <w14:solidFill>
              <w14:schemeClr w14:val="tx1"/>
            </w14:solidFill>
          </w14:textFill>
        </w:rPr>
      </w:pPr>
    </w:p>
    <w:p>
      <w:pPr>
        <w:ind w:left="-60" w:firstLine="1988" w:firstLineChars="660"/>
        <w:rPr>
          <w:rFonts w:ascii="仿宋" w:hAnsi="仿宋" w:eastAsia="仿宋"/>
          <w:b/>
          <w:bCs/>
          <w:color w:val="000000" w:themeColor="text1"/>
          <w:sz w:val="30"/>
          <w:szCs w:val="30"/>
          <w14:textFill>
            <w14:solidFill>
              <w14:schemeClr w14:val="tx1"/>
            </w14:solidFill>
          </w14:textFill>
        </w:rPr>
      </w:pPr>
    </w:p>
    <w:p>
      <w:pPr>
        <w:ind w:left="-60" w:firstLine="1988" w:firstLineChars="660"/>
        <w:rPr>
          <w:rFonts w:ascii="仿宋" w:hAnsi="仿宋" w:eastAsia="仿宋"/>
          <w:b/>
          <w:bCs/>
          <w:color w:val="000000" w:themeColor="text1"/>
          <w:sz w:val="30"/>
          <w:szCs w:val="30"/>
          <w14:textFill>
            <w14:solidFill>
              <w14:schemeClr w14:val="tx1"/>
            </w14:solidFill>
          </w14:textFill>
        </w:rPr>
      </w:pPr>
    </w:p>
    <w:p>
      <w:pPr>
        <w:pStyle w:val="30"/>
        <w:ind w:firstLine="2439" w:firstLineChars="810"/>
        <w:rPr>
          <w:rFonts w:hint="eastAsia" w:ascii="仿宋" w:hAnsi="仿宋" w:eastAsia="仿宋"/>
          <w:b/>
          <w:bCs w:val="0"/>
          <w:color w:val="000000" w:themeColor="text1"/>
          <w:sz w:val="30"/>
          <w:szCs w:val="30"/>
          <w:lang w:eastAsia="zh-CN"/>
          <w14:textFill>
            <w14:solidFill>
              <w14:schemeClr w14:val="tx1"/>
            </w14:solidFill>
          </w14:textFill>
        </w:rPr>
      </w:pPr>
      <w:r>
        <w:rPr>
          <w:rFonts w:hint="eastAsia" w:ascii="仿宋" w:hAnsi="仿宋" w:eastAsia="仿宋"/>
          <w:b/>
          <w:bCs w:val="0"/>
          <w:color w:val="000000" w:themeColor="text1"/>
          <w:sz w:val="30"/>
          <w:szCs w:val="30"/>
          <w:lang w:val="en-US" w:eastAsia="zh-CN"/>
          <w14:textFill>
            <w14:solidFill>
              <w14:schemeClr w14:val="tx1"/>
            </w14:solidFill>
          </w14:textFill>
        </w:rPr>
        <w:t>审    定</w:t>
      </w:r>
      <w:r>
        <w:rPr>
          <w:rFonts w:hint="eastAsia" w:ascii="仿宋" w:hAnsi="仿宋" w:eastAsia="仿宋"/>
          <w:b/>
          <w:bCs w:val="0"/>
          <w:color w:val="000000" w:themeColor="text1"/>
          <w:sz w:val="30"/>
          <w:szCs w:val="30"/>
          <w14:textFill>
            <w14:solidFill>
              <w14:schemeClr w14:val="tx1"/>
            </w14:solidFill>
          </w14:textFill>
        </w:rPr>
        <w:t>：</w:t>
      </w:r>
      <w:r>
        <w:rPr>
          <w:rFonts w:hint="eastAsia" w:ascii="仿宋" w:hAnsi="仿宋" w:eastAsia="仿宋"/>
          <w:b/>
          <w:bCs w:val="0"/>
          <w:color w:val="000000" w:themeColor="text1"/>
          <w:sz w:val="30"/>
          <w:szCs w:val="30"/>
          <w:lang w:val="en-US" w:eastAsia="zh-CN"/>
          <w14:textFill>
            <w14:solidFill>
              <w14:schemeClr w14:val="tx1"/>
            </w14:solidFill>
          </w14:textFill>
        </w:rPr>
        <w:t>汤建飞</w:t>
      </w:r>
      <w:r>
        <w:rPr>
          <w:rFonts w:hint="eastAsia" w:ascii="仿宋" w:hAnsi="仿宋" w:eastAsia="仿宋"/>
          <w:b/>
          <w:bCs w:val="0"/>
          <w:color w:val="000000" w:themeColor="text1"/>
          <w:sz w:val="30"/>
          <w:szCs w:val="30"/>
          <w14:textFill>
            <w14:solidFill>
              <w14:schemeClr w14:val="tx1"/>
            </w14:solidFill>
          </w14:textFill>
        </w:rPr>
        <w:t xml:space="preserve"> </w:t>
      </w:r>
      <w:r>
        <w:rPr>
          <w:rFonts w:hint="eastAsia" w:ascii="仿宋" w:hAnsi="仿宋" w:eastAsia="仿宋"/>
          <w:b/>
          <w:bCs w:val="0"/>
          <w:color w:val="000000" w:themeColor="text1"/>
          <w:sz w:val="30"/>
          <w:szCs w:val="30"/>
          <w:lang w:val="en-US" w:eastAsia="zh-CN"/>
          <w14:textFill>
            <w14:solidFill>
              <w14:schemeClr w14:val="tx1"/>
            </w14:solidFill>
          </w14:textFill>
        </w:rPr>
        <w:t xml:space="preserve"> </w:t>
      </w:r>
    </w:p>
    <w:p>
      <w:pPr>
        <w:pStyle w:val="30"/>
        <w:ind w:firstLine="2439" w:firstLineChars="810"/>
        <w:rPr>
          <w:rFonts w:hint="eastAsia" w:ascii="仿宋" w:hAnsi="仿宋" w:eastAsia="仿宋"/>
          <w:b/>
          <w:bCs w:val="0"/>
          <w:color w:val="000000" w:themeColor="text1"/>
          <w:sz w:val="30"/>
          <w:szCs w:val="30"/>
          <w:lang w:eastAsia="zh-CN"/>
          <w14:textFill>
            <w14:solidFill>
              <w14:schemeClr w14:val="tx1"/>
            </w14:solidFill>
          </w14:textFill>
        </w:rPr>
      </w:pPr>
      <w:r>
        <w:rPr>
          <w:rFonts w:hint="eastAsia" w:ascii="仿宋" w:hAnsi="仿宋" w:eastAsia="仿宋"/>
          <w:b/>
          <w:bCs w:val="0"/>
          <w:color w:val="000000" w:themeColor="text1"/>
          <w:sz w:val="30"/>
          <w:szCs w:val="30"/>
          <w:lang w:val="en-US" w:eastAsia="zh-CN"/>
          <w14:textFill>
            <w14:solidFill>
              <w14:schemeClr w14:val="tx1"/>
            </w14:solidFill>
          </w14:textFill>
        </w:rPr>
        <w:t>审    核</w:t>
      </w:r>
      <w:r>
        <w:rPr>
          <w:rFonts w:hint="eastAsia" w:ascii="仿宋" w:hAnsi="仿宋" w:eastAsia="仿宋"/>
          <w:b/>
          <w:bCs w:val="0"/>
          <w:color w:val="000000" w:themeColor="text1"/>
          <w:sz w:val="30"/>
          <w:szCs w:val="30"/>
          <w14:textFill>
            <w14:solidFill>
              <w14:schemeClr w14:val="tx1"/>
            </w14:solidFill>
          </w14:textFill>
        </w:rPr>
        <w:t>：</w:t>
      </w:r>
      <w:r>
        <w:rPr>
          <w:rFonts w:hint="eastAsia" w:ascii="仿宋" w:hAnsi="仿宋" w:eastAsia="仿宋"/>
          <w:b/>
          <w:bCs w:val="0"/>
          <w:color w:val="000000" w:themeColor="text1"/>
          <w:sz w:val="30"/>
          <w:szCs w:val="30"/>
          <w:lang w:val="en-US" w:eastAsia="zh-CN"/>
          <w14:textFill>
            <w14:solidFill>
              <w14:schemeClr w14:val="tx1"/>
            </w14:solidFill>
          </w14:textFill>
        </w:rPr>
        <w:t>傅根明</w:t>
      </w:r>
      <w:r>
        <w:rPr>
          <w:rFonts w:hint="eastAsia" w:ascii="仿宋" w:hAnsi="仿宋" w:eastAsia="仿宋"/>
          <w:b/>
          <w:bCs w:val="0"/>
          <w:color w:val="000000" w:themeColor="text1"/>
          <w:sz w:val="30"/>
          <w:szCs w:val="30"/>
          <w14:textFill>
            <w14:solidFill>
              <w14:schemeClr w14:val="tx1"/>
            </w14:solidFill>
          </w14:textFill>
        </w:rPr>
        <w:t xml:space="preserve"> </w:t>
      </w:r>
      <w:r>
        <w:rPr>
          <w:rFonts w:hint="eastAsia" w:ascii="仿宋" w:hAnsi="仿宋" w:eastAsia="仿宋"/>
          <w:b/>
          <w:bCs w:val="0"/>
          <w:color w:val="000000" w:themeColor="text1"/>
          <w:sz w:val="30"/>
          <w:szCs w:val="30"/>
          <w:lang w:val="en-US" w:eastAsia="zh-CN"/>
          <w14:textFill>
            <w14:solidFill>
              <w14:schemeClr w14:val="tx1"/>
            </w14:solidFill>
          </w14:textFill>
        </w:rPr>
        <w:t xml:space="preserve"> </w:t>
      </w:r>
    </w:p>
    <w:p>
      <w:pPr>
        <w:pStyle w:val="30"/>
        <w:ind w:firstLine="2439" w:firstLineChars="810"/>
        <w:rPr>
          <w:rFonts w:hint="eastAsia" w:ascii="仿宋" w:hAnsi="仿宋" w:eastAsia="仿宋"/>
          <w:b/>
          <w:bCs w:val="0"/>
          <w:color w:val="000000" w:themeColor="text1"/>
          <w:sz w:val="30"/>
          <w:szCs w:val="30"/>
          <w:lang w:val="en-US" w:eastAsia="zh-CN"/>
          <w14:textFill>
            <w14:solidFill>
              <w14:schemeClr w14:val="tx1"/>
            </w14:solidFill>
          </w14:textFill>
        </w:rPr>
      </w:pPr>
      <w:r>
        <w:rPr>
          <w:rFonts w:hint="eastAsia" w:ascii="仿宋" w:hAnsi="仿宋" w:eastAsia="仿宋"/>
          <w:b/>
          <w:bCs w:val="0"/>
          <w:color w:val="000000" w:themeColor="text1"/>
          <w:sz w:val="30"/>
          <w:szCs w:val="30"/>
          <w14:textFill>
            <w14:solidFill>
              <w14:schemeClr w14:val="tx1"/>
            </w14:solidFill>
          </w14:textFill>
        </w:rPr>
        <w:t>编    写：</w:t>
      </w:r>
      <w:r>
        <w:rPr>
          <w:rFonts w:hint="eastAsia" w:ascii="仿宋" w:hAnsi="仿宋" w:eastAsia="仿宋"/>
          <w:b/>
          <w:bCs w:val="0"/>
          <w:color w:val="000000" w:themeColor="text1"/>
          <w:sz w:val="30"/>
          <w:szCs w:val="30"/>
          <w:lang w:val="en-US" w:eastAsia="zh-CN"/>
          <w14:textFill>
            <w14:solidFill>
              <w14:schemeClr w14:val="tx1"/>
            </w14:solidFill>
          </w14:textFill>
        </w:rPr>
        <w:t>杨荣科、卢  阳、余  霖</w:t>
      </w:r>
    </w:p>
    <w:p>
      <w:pPr>
        <w:pStyle w:val="30"/>
        <w:ind w:firstLine="3945" w:firstLineChars="1310"/>
        <w:rPr>
          <w:rFonts w:hint="eastAsia" w:ascii="仿宋" w:hAnsi="仿宋" w:eastAsia="仿宋"/>
          <w:b/>
          <w:bCs w:val="0"/>
          <w:color w:val="000000" w:themeColor="text1"/>
          <w:sz w:val="30"/>
          <w:szCs w:val="30"/>
          <w:lang w:val="en-US" w:eastAsia="zh-CN"/>
          <w14:textFill>
            <w14:solidFill>
              <w14:schemeClr w14:val="tx1"/>
            </w14:solidFill>
          </w14:textFill>
        </w:rPr>
      </w:pPr>
      <w:r>
        <w:rPr>
          <w:rFonts w:hint="eastAsia" w:ascii="仿宋" w:hAnsi="仿宋" w:eastAsia="仿宋"/>
          <w:b/>
          <w:bCs w:val="0"/>
          <w:color w:val="000000" w:themeColor="text1"/>
          <w:sz w:val="30"/>
          <w:szCs w:val="30"/>
          <w:lang w:val="en-US" w:eastAsia="zh-CN"/>
          <w14:textFill>
            <w14:solidFill>
              <w14:schemeClr w14:val="tx1"/>
            </w14:solidFill>
          </w14:textFill>
        </w:rPr>
        <w:t>梅白冰、项晓聪</w:t>
      </w:r>
    </w:p>
    <w:p>
      <w:pPr>
        <w:rPr>
          <w:rFonts w:hint="default"/>
          <w:lang w:val="en-US" w:eastAsia="zh-CN"/>
        </w:rPr>
      </w:pPr>
    </w:p>
    <w:p>
      <w:pPr>
        <w:pStyle w:val="30"/>
        <w:ind w:firstLine="3795" w:firstLineChars="1265"/>
        <w:rPr>
          <w:rFonts w:hint="eastAsia" w:ascii="仿宋" w:hAnsi="仿宋" w:eastAsia="仿宋"/>
          <w:b w:val="0"/>
          <w:color w:val="000000" w:themeColor="text1"/>
          <w:sz w:val="30"/>
          <w:szCs w:val="30"/>
          <w:lang w:eastAsia="zh-CN"/>
          <w14:textFill>
            <w14:solidFill>
              <w14:schemeClr w14:val="tx1"/>
            </w14:solidFill>
          </w14:textFill>
        </w:rPr>
      </w:pPr>
      <w:r>
        <w:rPr>
          <w:rFonts w:hint="eastAsia" w:ascii="仿宋" w:hAnsi="仿宋" w:eastAsia="仿宋"/>
          <w:b w:val="0"/>
          <w:color w:val="000000" w:themeColor="text1"/>
          <w:sz w:val="30"/>
          <w:szCs w:val="30"/>
          <w14:textFill>
            <w14:solidFill>
              <w14:schemeClr w14:val="tx1"/>
            </w14:solidFill>
          </w14:textFill>
        </w:rPr>
        <w:t xml:space="preserve">  </w:t>
      </w:r>
      <w:r>
        <w:rPr>
          <w:rFonts w:hint="eastAsia" w:ascii="仿宋" w:hAnsi="仿宋" w:eastAsia="仿宋"/>
          <w:b w:val="0"/>
          <w:color w:val="000000" w:themeColor="text1"/>
          <w:sz w:val="30"/>
          <w:szCs w:val="30"/>
          <w:lang w:val="en-US" w:eastAsia="zh-CN"/>
          <w14:textFill>
            <w14:solidFill>
              <w14:schemeClr w14:val="tx1"/>
            </w14:solidFill>
          </w14:textFill>
        </w:rPr>
        <w:t xml:space="preserve"> </w:t>
      </w:r>
    </w:p>
    <w:p>
      <w:pPr>
        <w:widowControl w:val="0"/>
        <w:ind w:left="-79" w:firstLine="19" w:firstLineChars="4"/>
        <w:jc w:val="center"/>
        <w:rPr>
          <w:rFonts w:ascii="仿宋" w:hAnsi="仿宋" w:eastAsia="仿宋" w:cs="仿宋"/>
          <w:color w:val="000000" w:themeColor="text1"/>
          <w:sz w:val="48"/>
          <w:szCs w:val="48"/>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cols w:space="720" w:num="1"/>
          <w:docGrid w:linePitch="312" w:charSpace="0"/>
        </w:sectPr>
      </w:pPr>
    </w:p>
    <w:sdt>
      <w:sdtPr>
        <w:rPr>
          <w:rFonts w:ascii="宋体" w:hAnsi="宋体" w:eastAsia="宋体" w:cs="Times New Roman"/>
          <w:sz w:val="28"/>
          <w:szCs w:val="28"/>
          <w:lang w:val="en-US" w:eastAsia="zh-CN" w:bidi="ar-SA"/>
        </w:rPr>
        <w:id w:val="147474045"/>
        <w15:color w:val="DBDBDB"/>
        <w:docPartObj>
          <w:docPartGallery w:val="Table of Contents"/>
          <w:docPartUnique/>
        </w:docPartObj>
      </w:sdtPr>
      <w:sdtEndPr>
        <w:rPr>
          <w:rFonts w:ascii="宋体" w:hAnsi="宋体" w:eastAsia="宋体" w:cs="Times New Roman"/>
          <w:b/>
          <w:sz w:val="28"/>
          <w:szCs w:val="28"/>
          <w:lang w:val="en-US" w:eastAsia="zh-CN" w:bidi="ar-SA"/>
        </w:rPr>
      </w:sdtEndPr>
      <w:sdtContent>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36"/>
              <w:szCs w:val="36"/>
            </w:rPr>
            <w:t>目</w:t>
          </w:r>
          <w:r>
            <w:rPr>
              <w:rFonts w:hint="eastAsia" w:ascii="宋体" w:hAnsi="宋体"/>
              <w:b/>
              <w:bCs/>
              <w:sz w:val="36"/>
              <w:szCs w:val="36"/>
              <w:lang w:val="en-US" w:eastAsia="zh-CN"/>
            </w:rPr>
            <w:t xml:space="preserve">   </w:t>
          </w:r>
          <w:r>
            <w:rPr>
              <w:rFonts w:ascii="宋体" w:hAnsi="宋体" w:eastAsia="宋体"/>
              <w:b/>
              <w:bCs/>
              <w:sz w:val="36"/>
              <w:szCs w:val="36"/>
            </w:rPr>
            <w:t>录</w:t>
          </w:r>
        </w:p>
        <w:p>
          <w:pPr>
            <w:pStyle w:val="15"/>
            <w:tabs>
              <w:tab w:val="right" w:leader="dot" w:pos="8731"/>
              <w:tab w:val="clear" w:pos="8789"/>
            </w:tabs>
            <w:rPr>
              <w:rFonts w:hint="eastAsia" w:ascii="仿宋" w:hAnsi="仿宋" w:eastAsia="仿宋" w:cs="仿宋"/>
              <w:sz w:val="28"/>
              <w:szCs w:val="28"/>
            </w:rPr>
          </w:pPr>
          <w:r>
            <w:rPr>
              <w:sz w:val="28"/>
              <w:szCs w:val="28"/>
            </w:rPr>
            <w:fldChar w:fldCharType="begin"/>
          </w:r>
          <w:r>
            <w:rPr>
              <w:sz w:val="28"/>
              <w:szCs w:val="28"/>
            </w:rPr>
            <w:instrText xml:space="preserve">TOC \o "1-2" \h \u </w:instrText>
          </w:r>
          <w:r>
            <w:rPr>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_Toc5741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bidi="he-IL"/>
            </w:rPr>
            <w:t>前言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_Toc5741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_Toc24724 </w:instrText>
          </w:r>
          <w:r>
            <w:rPr>
              <w:rFonts w:hint="eastAsia" w:ascii="仿宋" w:hAnsi="仿宋" w:eastAsia="仿宋" w:cs="仿宋"/>
              <w:sz w:val="28"/>
              <w:szCs w:val="28"/>
            </w:rPr>
            <w:fldChar w:fldCharType="separate"/>
          </w:r>
          <w:r>
            <w:rPr>
              <w:rFonts w:hint="eastAsia" w:ascii="仿宋" w:hAnsi="仿宋" w:eastAsia="仿宋" w:cs="仿宋"/>
              <w:sz w:val="28"/>
              <w:szCs w:val="28"/>
            </w:rPr>
            <w:t>一、 水利改革发展现状和面临的新形势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_Toc24724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_Toc4988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 xml:space="preserve">1.1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十三五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水利发展成效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_Toc4988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_Toc10712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1.2</w:t>
          </w:r>
          <w:r>
            <w:rPr>
              <w:rFonts w:hint="eastAsia" w:ascii="仿宋" w:hAnsi="仿宋" w:eastAsia="仿宋" w:cs="仿宋"/>
              <w:sz w:val="28"/>
              <w:szCs w:val="28"/>
            </w:rPr>
            <w:t>面临的新形势和新要求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_Toc10712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_Toc28667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1.3存在的问题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_Toc28667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_Toc32412 </w:instrText>
          </w:r>
          <w:r>
            <w:rPr>
              <w:rFonts w:hint="eastAsia" w:ascii="仿宋" w:hAnsi="仿宋" w:eastAsia="仿宋" w:cs="仿宋"/>
              <w:sz w:val="28"/>
              <w:szCs w:val="28"/>
            </w:rPr>
            <w:fldChar w:fldCharType="separate"/>
          </w:r>
          <w:r>
            <w:rPr>
              <w:rFonts w:hint="eastAsia" w:ascii="仿宋" w:hAnsi="仿宋" w:eastAsia="仿宋" w:cs="仿宋"/>
              <w:sz w:val="28"/>
              <w:szCs w:val="28"/>
            </w:rPr>
            <w:t>二、总体要求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_Toc32412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_Toc31116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 xml:space="preserve">2.1 </w:t>
          </w:r>
          <w:r>
            <w:rPr>
              <w:rFonts w:hint="eastAsia" w:ascii="仿宋" w:hAnsi="仿宋" w:eastAsia="仿宋" w:cs="仿宋"/>
              <w:sz w:val="28"/>
              <w:szCs w:val="28"/>
            </w:rPr>
            <w:t>指导思想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_Toc31116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_Toc30325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 xml:space="preserve">2.2 </w:t>
          </w:r>
          <w:r>
            <w:rPr>
              <w:rFonts w:hint="eastAsia" w:ascii="仿宋" w:hAnsi="仿宋" w:eastAsia="仿宋" w:cs="仿宋"/>
              <w:sz w:val="28"/>
              <w:szCs w:val="28"/>
            </w:rPr>
            <w:t>基本原则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_Toc30325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_Toc20482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2.3总体格局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_Toc20482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_Toc17967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 xml:space="preserve">2.4 </w:t>
          </w:r>
          <w:r>
            <w:rPr>
              <w:rFonts w:hint="eastAsia" w:ascii="仿宋" w:hAnsi="仿宋" w:eastAsia="仿宋" w:cs="仿宋"/>
              <w:sz w:val="28"/>
              <w:szCs w:val="28"/>
            </w:rPr>
            <w:t>发展目标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_Toc17967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_Toc16412 </w:instrText>
          </w:r>
          <w:r>
            <w:rPr>
              <w:rFonts w:hint="eastAsia" w:ascii="仿宋" w:hAnsi="仿宋" w:eastAsia="仿宋" w:cs="仿宋"/>
              <w:sz w:val="28"/>
              <w:szCs w:val="28"/>
            </w:rPr>
            <w:fldChar w:fldCharType="separate"/>
          </w:r>
          <w:r>
            <w:rPr>
              <w:rFonts w:hint="eastAsia" w:ascii="仿宋" w:hAnsi="仿宋" w:eastAsia="仿宋" w:cs="仿宋"/>
              <w:sz w:val="28"/>
              <w:szCs w:val="28"/>
            </w:rPr>
            <w:t>三、</w:t>
          </w:r>
          <w:r>
            <w:rPr>
              <w:rFonts w:hint="eastAsia" w:ascii="仿宋" w:hAnsi="仿宋" w:eastAsia="仿宋" w:cs="仿宋"/>
              <w:sz w:val="28"/>
              <w:szCs w:val="28"/>
              <w:lang w:val="en-US" w:eastAsia="zh-CN"/>
            </w:rPr>
            <w:t>主要任务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_Toc16412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_Toc20013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3.1</w:t>
          </w:r>
          <w:r>
            <w:rPr>
              <w:rFonts w:hint="eastAsia" w:ascii="仿宋" w:hAnsi="仿宋" w:eastAsia="仿宋" w:cs="仿宋"/>
              <w:sz w:val="28"/>
              <w:szCs w:val="28"/>
            </w:rPr>
            <w:t>高标准建设水利基础施网络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_Toc20013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_Toc15584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3.2 高效能推进水治理能力现代化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_Toc15584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_Toc16578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3.3 高水平创新水生态价值转换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_Toc16578 \h </w:instrText>
          </w:r>
          <w:r>
            <w:rPr>
              <w:rFonts w:hint="eastAsia" w:ascii="仿宋" w:hAnsi="仿宋" w:eastAsia="仿宋" w:cs="仿宋"/>
              <w:sz w:val="28"/>
              <w:szCs w:val="28"/>
            </w:rPr>
            <w:fldChar w:fldCharType="separate"/>
          </w:r>
          <w:r>
            <w:rPr>
              <w:rFonts w:hint="eastAsia" w:ascii="仿宋" w:hAnsi="仿宋" w:eastAsia="仿宋" w:cs="仿宋"/>
              <w:sz w:val="28"/>
              <w:szCs w:val="28"/>
            </w:rPr>
            <w:t>30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_Toc13593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四</w:t>
          </w:r>
          <w:r>
            <w:rPr>
              <w:rFonts w:hint="eastAsia" w:ascii="仿宋" w:hAnsi="仿宋" w:eastAsia="仿宋" w:cs="仿宋"/>
              <w:sz w:val="28"/>
              <w:szCs w:val="28"/>
            </w:rPr>
            <w:t>、</w:t>
          </w:r>
          <w:r>
            <w:rPr>
              <w:rFonts w:hint="eastAsia" w:ascii="仿宋" w:hAnsi="仿宋" w:eastAsia="仿宋" w:cs="仿宋"/>
              <w:sz w:val="28"/>
              <w:szCs w:val="28"/>
              <w:lang w:val="en-US" w:eastAsia="zh-CN"/>
            </w:rPr>
            <w:t>环境影响分析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_Toc13593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_Toc18506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五</w:t>
          </w:r>
          <w:r>
            <w:rPr>
              <w:rFonts w:hint="eastAsia" w:ascii="仿宋" w:hAnsi="仿宋" w:eastAsia="仿宋" w:cs="仿宋"/>
              <w:sz w:val="28"/>
              <w:szCs w:val="28"/>
            </w:rPr>
            <w:t>、投资估算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_Toc18506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_Toc11657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 xml:space="preserve">5.1 </w:t>
          </w:r>
          <w:r>
            <w:rPr>
              <w:rFonts w:hint="eastAsia" w:ascii="仿宋" w:hAnsi="仿宋" w:eastAsia="仿宋" w:cs="仿宋"/>
              <w:bCs/>
              <w:sz w:val="28"/>
              <w:szCs w:val="28"/>
              <w:highlight w:val="none"/>
            </w:rPr>
            <w:t>投资估算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_Toc11657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_Toc4872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 xml:space="preserve">5.2 </w:t>
          </w:r>
          <w:r>
            <w:rPr>
              <w:rFonts w:hint="eastAsia" w:ascii="仿宋" w:hAnsi="仿宋" w:eastAsia="仿宋" w:cs="仿宋"/>
              <w:bCs/>
              <w:sz w:val="28"/>
              <w:szCs w:val="28"/>
              <w:highlight w:val="none"/>
            </w:rPr>
            <w:t>资金筹措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_Toc4872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_Toc3523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六</w:t>
          </w:r>
          <w:r>
            <w:rPr>
              <w:rFonts w:hint="eastAsia" w:ascii="仿宋" w:hAnsi="仿宋" w:eastAsia="仿宋" w:cs="仿宋"/>
              <w:sz w:val="28"/>
              <w:szCs w:val="28"/>
            </w:rPr>
            <w:t>、保障措施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_Toc3523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_Toc6944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6.1 加强领导，落实责任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_Toc6944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_Toc15567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6.2 深化前期，加快进度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_Toc15567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_Toc29470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6.3 加大投入，要素保障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_Toc29470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6"/>
            <w:tabs>
              <w:tab w:val="right" w:leader="dot" w:pos="8731"/>
              <w:tab w:val="clear" w:pos="8789"/>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_Toc21516 </w:instrText>
          </w:r>
          <w:r>
            <w:rPr>
              <w:rFonts w:hint="eastAsia" w:ascii="仿宋" w:hAnsi="仿宋" w:eastAsia="仿宋" w:cs="仿宋"/>
              <w:sz w:val="28"/>
              <w:szCs w:val="28"/>
            </w:rPr>
            <w:fldChar w:fldCharType="separate"/>
          </w:r>
          <w:r>
            <w:rPr>
              <w:rFonts w:hint="eastAsia" w:ascii="仿宋" w:hAnsi="仿宋" w:eastAsia="仿宋" w:cs="仿宋"/>
              <w:bCs/>
              <w:sz w:val="28"/>
              <w:szCs w:val="28"/>
              <w:highlight w:val="none"/>
              <w:lang w:val="en-US" w:eastAsia="zh-CN"/>
            </w:rPr>
            <w:t>6.4 加强宣传，凝聚共识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_Toc21516 \h </w:instrText>
          </w:r>
          <w:r>
            <w:rPr>
              <w:rFonts w:hint="eastAsia" w:ascii="仿宋" w:hAnsi="仿宋" w:eastAsia="仿宋" w:cs="仿宋"/>
              <w:sz w:val="28"/>
              <w:szCs w:val="28"/>
            </w:rPr>
            <w:fldChar w:fldCharType="separate"/>
          </w:r>
          <w:r>
            <w:rPr>
              <w:rFonts w:hint="eastAsia" w:ascii="仿宋" w:hAnsi="仿宋" w:eastAsia="仿宋" w:cs="仿宋"/>
              <w:sz w:val="28"/>
              <w:szCs w:val="28"/>
            </w:rPr>
            <w:t>38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r>
            <w:rPr>
              <w:szCs w:val="28"/>
            </w:rPr>
            <w:fldChar w:fldCharType="end"/>
          </w:r>
        </w:p>
      </w:sdtContent>
    </w:sdt>
    <w:p>
      <w:pPr>
        <w:pStyle w:val="5"/>
        <w:tabs>
          <w:tab w:val="right" w:leader="dot" w:pos="8789"/>
        </w:tabs>
        <w:spacing w:before="120" w:after="120"/>
        <w:outlineLvl w:val="9"/>
        <w:rPr>
          <w:rFonts w:ascii="仿宋" w:hAnsi="仿宋" w:eastAsia="仿宋" w:cs="仿宋"/>
          <w:b/>
          <w:bCs/>
          <w:caps/>
          <w:smallCaps w:val="0"/>
          <w:color w:val="000000" w:themeColor="text1"/>
          <w:kern w:val="44"/>
          <w:sz w:val="28"/>
          <w:szCs w:val="28"/>
          <w14:textFill>
            <w14:solidFill>
              <w14:schemeClr w14:val="tx1"/>
            </w14:solidFill>
          </w14:textFill>
        </w:rPr>
      </w:pPr>
      <w:r>
        <w:rPr>
          <w:rFonts w:ascii="仿宋" w:hAnsi="仿宋" w:eastAsia="仿宋" w:cs="仿宋"/>
          <w:color w:val="000000" w:themeColor="text1"/>
          <w14:textFill>
            <w14:solidFill>
              <w14:schemeClr w14:val="tx1"/>
            </w14:solidFill>
          </w14:textFill>
        </w:rPr>
        <w:t xml:space="preserve"> </w:t>
      </w:r>
    </w:p>
    <w:p>
      <w:pPr>
        <w:rPr>
          <w:rFonts w:ascii="仿宋" w:hAnsi="仿宋" w:eastAsia="仿宋" w:cs="仿宋"/>
          <w:b/>
          <w:bCs/>
          <w:caps/>
          <w:smallCaps w:val="0"/>
          <w:color w:val="000000" w:themeColor="text1"/>
          <w:kern w:val="44"/>
          <w:sz w:val="28"/>
          <w:szCs w:val="28"/>
          <w14:textFill>
            <w14:solidFill>
              <w14:schemeClr w14:val="tx1"/>
            </w14:solidFill>
          </w14:textFill>
        </w:rPr>
        <w:sectPr>
          <w:headerReference r:id="rId8" w:type="default"/>
          <w:footerReference r:id="rId9" w:type="default"/>
          <w:pgSz w:w="11907" w:h="16840"/>
          <w:pgMar w:top="1474" w:right="1588" w:bottom="1474" w:left="1588" w:header="851" w:footer="851" w:gutter="0"/>
          <w:pgBorders>
            <w:top w:val="none" w:sz="0" w:space="0"/>
            <w:left w:val="none" w:sz="0" w:space="0"/>
            <w:bottom w:val="none" w:sz="0" w:space="0"/>
            <w:right w:val="none" w:sz="0" w:space="0"/>
          </w:pgBorders>
          <w:pgNumType w:start="1"/>
          <w:cols w:space="720" w:num="1"/>
          <w:docGrid w:linePitch="312" w:charSpace="0"/>
        </w:sectPr>
      </w:pPr>
    </w:p>
    <w:p>
      <w:pPr>
        <w:pStyle w:val="3"/>
        <w:spacing w:before="120" w:after="120"/>
        <w:rPr>
          <w:rFonts w:hint="eastAsia" w:ascii="Times New Roman" w:hAnsi="Times New Roman" w:eastAsia="仿宋" w:cs="Times New Roman"/>
          <w:color w:val="000000" w:themeColor="text1"/>
          <w:lang w:val="en-US" w:eastAsia="zh-CN" w:bidi="he-IL"/>
          <w14:textFill>
            <w14:solidFill>
              <w14:schemeClr w14:val="tx1"/>
            </w14:solidFill>
          </w14:textFill>
        </w:rPr>
      </w:pPr>
      <w:bookmarkStart w:id="1" w:name="_Toc5741"/>
      <w:r>
        <w:rPr>
          <w:rFonts w:hint="eastAsia" w:ascii="Times New Roman" w:hAnsi="Times New Roman" w:eastAsia="仿宋" w:cs="Times New Roman"/>
          <w:color w:val="000000" w:themeColor="text1"/>
          <w:lang w:val="en-US" w:eastAsia="zh-CN" w:bidi="he-IL"/>
          <w14:textFill>
            <w14:solidFill>
              <w14:schemeClr w14:val="tx1"/>
            </w14:solidFill>
          </w14:textFill>
        </w:rPr>
        <w:t>前言</w:t>
      </w:r>
      <w:bookmarkEnd w:id="1"/>
    </w:p>
    <w:p>
      <w:pPr>
        <w:ind w:firstLine="600"/>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pPr>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党的十八大以来，党中央高度重视水利工作，习近平总书记就水安全战略发表重要讲话，明确提出“节水优先、空间均衡、系统治理、两手发力”的治水思路，要求全党大力增强水忧患意识、水危机意识，从全面建成小康社会、实现中华民族永续发展的战略高度，重视解决好水安全问题。</w:t>
      </w:r>
    </w:p>
    <w:p>
      <w:pPr>
        <w:ind w:firstLine="600"/>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pPr>
      <w:bookmarkStart w:id="2" w:name="_Hlk69139765"/>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促进水利事业高质量发展，提高水安全保障能力是当前及今后一段时期的水利工作主线，编制和实施水利发展“十四五”规划</w:t>
      </w:r>
      <w:bookmarkEnd w:id="2"/>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，对云和打造“山区新型城镇化样板县域”</w:t>
      </w:r>
      <w:bookmarkStart w:id="3" w:name="_Hlk69139799"/>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具有重大现实意义和深远历史意义。依据《云和县国民经济和社会发展第十四个五年规划和二〇三五年远景目标纲要》</w:t>
      </w:r>
      <w:bookmarkEnd w:id="3"/>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在实地调研、征求意见、深入论证等基础上，全面总结评估云和“十三五”时期水利改革发展成效，围绕人民群众对防洪保安全、优质水资源、健康水生态、宜居水环境、先进水文化的切实需求，系统研究水利发展面临的新形势，提出今后五年水利发展规划的总体思路、目标任务、总体布局、建设任务和管理改革举措，形成</w:t>
      </w:r>
      <w:bookmarkStart w:id="4" w:name="_Hlk66346194"/>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《云和县“十四五”水利发展规划》</w:t>
      </w:r>
      <w:bookmarkEnd w:id="4"/>
      <w:r>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t>，努力为云和社会经济发展提供坚实可靠的水利保障，助力浙江大花园核心区（丽水）建设。</w:t>
      </w:r>
    </w:p>
    <w:p>
      <w:pPr>
        <w:ind w:firstLine="600"/>
        <w:rPr>
          <w:rFonts w:hint="eastAsia" w:ascii="Times New Roman" w:hAnsi="Times New Roman" w:eastAsia="仿宋" w:cs="Times New Roman"/>
          <w:color w:val="000000" w:themeColor="text1"/>
          <w:sz w:val="30"/>
          <w:szCs w:val="30"/>
          <w:lang w:val="en-US" w:eastAsia="zh-CN" w:bidi="he-IL"/>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pgNumType w:start="1"/>
          <w:cols w:space="720" w:num="1"/>
          <w:docGrid w:linePitch="312" w:charSpace="0"/>
        </w:sectPr>
      </w:pPr>
    </w:p>
    <w:p>
      <w:pPr>
        <w:pStyle w:val="3"/>
        <w:numPr>
          <w:ilvl w:val="0"/>
          <w:numId w:val="1"/>
        </w:numPr>
        <w:spacing w:before="120" w:after="120"/>
        <w:rPr>
          <w:rFonts w:ascii="仿宋" w:hAnsi="仿宋" w:eastAsia="仿宋" w:cs="仿宋"/>
          <w:color w:val="000000" w:themeColor="text1"/>
          <w14:textFill>
            <w14:solidFill>
              <w14:schemeClr w14:val="tx1"/>
            </w14:solidFill>
          </w14:textFill>
        </w:rPr>
      </w:pPr>
      <w:bookmarkStart w:id="5" w:name="_Toc20207"/>
      <w:bookmarkStart w:id="6" w:name="_Toc24724"/>
      <w:bookmarkStart w:id="7" w:name="_Hlk39927573"/>
      <w:r>
        <w:rPr>
          <w:rFonts w:hint="eastAsia" w:ascii="仿宋" w:hAnsi="仿宋" w:eastAsia="仿宋" w:cs="仿宋"/>
          <w:color w:val="000000" w:themeColor="text1"/>
          <w14:textFill>
            <w14:solidFill>
              <w14:schemeClr w14:val="tx1"/>
            </w14:solidFill>
          </w14:textFill>
        </w:rPr>
        <w:t>水利改革发展现状和面临的新形势</w:t>
      </w:r>
      <w:bookmarkEnd w:id="5"/>
      <w:bookmarkEnd w:id="6"/>
    </w:p>
    <w:bookmarkEnd w:id="7"/>
    <w:p>
      <w:pPr>
        <w:pStyle w:val="4"/>
        <w:ind w:firstLine="602"/>
        <w:rPr>
          <w:rFonts w:hint="default" w:ascii="仿宋" w:hAnsi="仿宋" w:eastAsia="仿宋" w:cs="仿宋"/>
          <w:color w:val="000000" w:themeColor="text1"/>
          <w:szCs w:val="30"/>
          <w:lang w:val="en-US" w:eastAsia="zh-CN"/>
          <w14:textFill>
            <w14:solidFill>
              <w14:schemeClr w14:val="tx1"/>
            </w14:solidFill>
          </w14:textFill>
        </w:rPr>
      </w:pPr>
      <w:bookmarkStart w:id="8" w:name="_Toc31515"/>
      <w:bookmarkStart w:id="9" w:name="_Toc4988"/>
      <w:r>
        <w:rPr>
          <w:rFonts w:hint="eastAsia" w:ascii="仿宋" w:hAnsi="仿宋" w:cs="仿宋"/>
          <w:color w:val="000000" w:themeColor="text1"/>
          <w:szCs w:val="30"/>
          <w:lang w:val="en-US" w:eastAsia="zh-CN"/>
          <w14:textFill>
            <w14:solidFill>
              <w14:schemeClr w14:val="tx1"/>
            </w14:solidFill>
          </w14:textFill>
        </w:rPr>
        <w:t xml:space="preserve">1.1 </w:t>
      </w:r>
      <w:r>
        <w:rPr>
          <w:rFonts w:hint="eastAsia" w:ascii="仿宋" w:hAnsi="仿宋" w:cs="仿宋"/>
          <w:color w:val="000000" w:themeColor="text1"/>
          <w:szCs w:val="30"/>
          <w:lang w:eastAsia="zh-CN"/>
          <w14:textFill>
            <w14:solidFill>
              <w14:schemeClr w14:val="tx1"/>
            </w14:solidFill>
          </w14:textFill>
        </w:rPr>
        <w:t>“</w:t>
      </w:r>
      <w:r>
        <w:rPr>
          <w:rFonts w:hint="eastAsia" w:ascii="仿宋" w:hAnsi="仿宋" w:cs="仿宋"/>
          <w:color w:val="000000" w:themeColor="text1"/>
          <w:szCs w:val="30"/>
          <w:lang w:val="en-US" w:eastAsia="zh-CN"/>
          <w14:textFill>
            <w14:solidFill>
              <w14:schemeClr w14:val="tx1"/>
            </w14:solidFill>
          </w14:textFill>
        </w:rPr>
        <w:t>十三五</w:t>
      </w:r>
      <w:r>
        <w:rPr>
          <w:rFonts w:hint="eastAsia" w:ascii="仿宋" w:hAnsi="仿宋" w:cs="仿宋"/>
          <w:color w:val="000000" w:themeColor="text1"/>
          <w:szCs w:val="30"/>
          <w:lang w:eastAsia="zh-CN"/>
          <w14:textFill>
            <w14:solidFill>
              <w14:schemeClr w14:val="tx1"/>
            </w14:solidFill>
          </w14:textFill>
        </w:rPr>
        <w:t>”</w:t>
      </w:r>
      <w:r>
        <w:rPr>
          <w:rFonts w:hint="eastAsia" w:ascii="仿宋" w:hAnsi="仿宋" w:cs="仿宋"/>
          <w:color w:val="000000" w:themeColor="text1"/>
          <w:szCs w:val="30"/>
          <w:lang w:val="en-US" w:eastAsia="zh-CN"/>
          <w14:textFill>
            <w14:solidFill>
              <w14:schemeClr w14:val="tx1"/>
            </w14:solidFill>
          </w14:textFill>
        </w:rPr>
        <w:t>水利</w:t>
      </w:r>
      <w:bookmarkEnd w:id="8"/>
      <w:r>
        <w:rPr>
          <w:rFonts w:hint="eastAsia" w:ascii="仿宋" w:hAnsi="仿宋" w:cs="仿宋"/>
          <w:color w:val="000000" w:themeColor="text1"/>
          <w:szCs w:val="30"/>
          <w:lang w:val="en-US" w:eastAsia="zh-CN"/>
          <w14:textFill>
            <w14:solidFill>
              <w14:schemeClr w14:val="tx1"/>
            </w14:solidFill>
          </w14:textFill>
        </w:rPr>
        <w:t>发展成效</w:t>
      </w:r>
      <w:bookmarkEnd w:id="9"/>
    </w:p>
    <w:p>
      <w:pPr>
        <w:ind w:firstLine="588" w:firstLineChars="196"/>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“十三五”期间，</w:t>
      </w:r>
      <w:r>
        <w:rPr>
          <w:rFonts w:hint="eastAsia" w:ascii="仿宋" w:hAnsi="仿宋" w:eastAsia="仿宋" w:cs="仿宋"/>
          <w:color w:val="000000" w:themeColor="text1"/>
          <w:sz w:val="30"/>
          <w:szCs w:val="30"/>
          <w:lang w:val="en-US"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水利系统深入贯彻党的十九大精神和习近平新时代中国特色社会主义思想，紧紧围绕“绿水青山就是金山银山”理论，坚持“创新、协调、绿色、开放、共享”的发展理念，按照“节水优先、空间均衡、系统治理、两手发力”的新时期治水方针，结合“两富”、“两美”现代化浙江建设和“干在实处永无止境，走在前列要谋新篇”的新使命，按照</w:t>
      </w:r>
      <w:r>
        <w:rPr>
          <w:rFonts w:hint="eastAsia"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实施六个重大项目、构建六大体系”</w:t>
      </w:r>
      <w:r>
        <w:rPr>
          <w:rFonts w:hint="eastAsia" w:ascii="仿宋" w:hAnsi="仿宋" w:eastAsia="仿宋" w:cs="仿宋"/>
          <w:color w:val="000000" w:themeColor="text1"/>
          <w:sz w:val="30"/>
          <w:szCs w:val="30"/>
          <w14:textFill>
            <w14:solidFill>
              <w14:schemeClr w14:val="tx1"/>
            </w14:solidFill>
          </w14:textFill>
        </w:rPr>
        <w:t>的治水思路，加强水利建设、深化水利改革、强化水利管理、创新水利发展，共开展</w:t>
      </w:r>
      <w:r>
        <w:rPr>
          <w:rFonts w:hint="eastAsia" w:ascii="仿宋" w:hAnsi="仿宋" w:eastAsia="仿宋" w:cs="仿宋"/>
          <w:color w:val="000000" w:themeColor="text1"/>
          <w:sz w:val="30"/>
          <w:szCs w:val="30"/>
          <w:lang w:val="en-US" w:eastAsia="zh-CN"/>
          <w14:textFill>
            <w14:solidFill>
              <w14:schemeClr w14:val="tx1"/>
            </w14:solidFill>
          </w14:textFill>
        </w:rPr>
        <w:t>20类</w:t>
      </w:r>
      <w:r>
        <w:rPr>
          <w:rFonts w:hint="eastAsia" w:ascii="仿宋" w:hAnsi="仿宋" w:eastAsia="仿宋" w:cs="仿宋"/>
          <w:color w:val="000000" w:themeColor="text1"/>
          <w:sz w:val="30"/>
          <w:szCs w:val="30"/>
          <w14:textFill>
            <w14:solidFill>
              <w14:schemeClr w14:val="tx1"/>
            </w14:solidFill>
          </w14:textFill>
        </w:rPr>
        <w:t>水利工程建设，完成总投资</w:t>
      </w:r>
      <w:r>
        <w:rPr>
          <w:rFonts w:hint="eastAsia" w:ascii="仿宋" w:hAnsi="仿宋" w:eastAsia="仿宋" w:cs="仿宋"/>
          <w:color w:val="000000" w:themeColor="text1"/>
          <w:sz w:val="30"/>
          <w:szCs w:val="30"/>
          <w:lang w:val="en-US" w:eastAsia="zh-CN"/>
          <w14:textFill>
            <w14:solidFill>
              <w14:schemeClr w14:val="tx1"/>
            </w14:solidFill>
          </w14:textFill>
        </w:rPr>
        <w:t>7.6187</w:t>
      </w:r>
      <w:r>
        <w:rPr>
          <w:rFonts w:hint="eastAsia" w:ascii="仿宋" w:hAnsi="仿宋" w:eastAsia="仿宋" w:cs="仿宋"/>
          <w:color w:val="000000" w:themeColor="text1"/>
          <w:sz w:val="30"/>
          <w:szCs w:val="30"/>
          <w14:textFill>
            <w14:solidFill>
              <w14:schemeClr w14:val="tx1"/>
            </w14:solidFill>
          </w14:textFill>
        </w:rPr>
        <w:t>亿元，</w:t>
      </w:r>
      <w:r>
        <w:rPr>
          <w:rFonts w:hint="eastAsia" w:ascii="仿宋" w:hAnsi="仿宋" w:eastAsia="仿宋" w:cs="仿宋"/>
          <w:color w:val="000000" w:themeColor="text1"/>
          <w:sz w:val="30"/>
          <w:szCs w:val="30"/>
          <w:lang w:val="en-US" w:eastAsia="zh-CN"/>
          <w14:textFill>
            <w14:solidFill>
              <w14:schemeClr w14:val="tx1"/>
            </w14:solidFill>
          </w14:textFill>
        </w:rPr>
        <w:t>较好的完成了“十三五”规划任务。</w:t>
      </w:r>
      <w:r>
        <w:rPr>
          <w:rFonts w:hint="eastAsia" w:ascii="仿宋" w:hAnsi="仿宋" w:eastAsia="仿宋" w:cs="仿宋"/>
          <w:color w:val="000000" w:themeColor="text1"/>
          <w:sz w:val="30"/>
          <w:szCs w:val="30"/>
          <w14:textFill>
            <w14:solidFill>
              <w14:schemeClr w14:val="tx1"/>
            </w14:solidFill>
          </w14:textFill>
        </w:rPr>
        <w:t>重大水利工程和民生水利工程建设全力提速，水利改革全面推进</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特别是在美丽河湖、水利工程标准化创建、绿色小水电及水利风景区建设等方面逐渐形成了具有云和地方特色的治水实践，其中“十三五”期间共完成66处水利工程标准化创建，数条河道获得省市级美丽河湖称号，云和梯田水利风景区更是入选为国家级水利风景区，得到了上级部门的高度肯定，为云和“十四五”水利高质量发展打下了坚实的基础。</w:t>
      </w:r>
    </w:p>
    <w:p>
      <w:pPr>
        <w:pStyle w:val="5"/>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1.1.1 </w:t>
      </w:r>
      <w:r>
        <w:rPr>
          <w:rFonts w:hint="eastAsia" w:ascii="仿宋" w:hAnsi="仿宋" w:eastAsia="仿宋" w:cs="仿宋"/>
          <w:b/>
          <w:sz w:val="32"/>
          <w:szCs w:val="32"/>
          <w:lang w:val="en-US" w:eastAsia="zh-CN"/>
        </w:rPr>
        <w:t>以</w:t>
      </w:r>
      <w:r>
        <w:rPr>
          <w:rFonts w:hint="eastAsia" w:ascii="仿宋" w:hAnsi="仿宋" w:eastAsia="仿宋" w:cs="仿宋"/>
          <w:b/>
          <w:sz w:val="32"/>
          <w:szCs w:val="32"/>
        </w:rPr>
        <w:t>构建安全水利体系</w:t>
      </w:r>
      <w:r>
        <w:rPr>
          <w:rFonts w:hint="eastAsia" w:ascii="仿宋" w:hAnsi="仿宋" w:eastAsia="仿宋" w:cs="仿宋"/>
          <w:b/>
          <w:sz w:val="32"/>
          <w:szCs w:val="32"/>
          <w:lang w:val="en-US" w:eastAsia="zh-CN"/>
        </w:rPr>
        <w:t>为出发点，</w:t>
      </w:r>
      <w:r>
        <w:rPr>
          <w:rFonts w:hint="eastAsia" w:ascii="仿宋" w:hAnsi="仿宋" w:eastAsia="仿宋" w:cs="仿宋"/>
          <w:b/>
          <w:sz w:val="32"/>
          <w:szCs w:val="32"/>
        </w:rPr>
        <w:t>防洪减灾</w:t>
      </w:r>
      <w:r>
        <w:rPr>
          <w:rFonts w:hint="eastAsia" w:ascii="仿宋" w:hAnsi="仿宋" w:eastAsia="仿宋" w:cs="仿宋"/>
          <w:b/>
          <w:sz w:val="32"/>
          <w:szCs w:val="32"/>
          <w:lang w:val="en-US" w:eastAsia="zh-CN"/>
        </w:rPr>
        <w:t>能力得到有效提升</w:t>
      </w:r>
    </w:p>
    <w:p>
      <w:pPr>
        <w:ind w:firstLine="600"/>
        <w:rPr>
          <w:rFonts w:hint="eastAsia" w:ascii="仿宋" w:hAnsi="仿宋" w:eastAsia="仿宋" w:cs="仿宋"/>
          <w:color w:val="000000" w:themeColor="text1"/>
          <w:sz w:val="30"/>
          <w:szCs w:val="30"/>
          <w:lang w:eastAsia="zh-CN"/>
          <w14:textFill>
            <w14:solidFill>
              <w14:schemeClr w14:val="tx1"/>
            </w14:solidFill>
          </w14:textFill>
        </w:rPr>
      </w:pPr>
      <w:bookmarkStart w:id="10" w:name="_Hlk50633531"/>
      <w:r>
        <w:rPr>
          <w:rFonts w:hint="eastAsia" w:ascii="仿宋" w:hAnsi="仿宋" w:eastAsia="仿宋" w:cs="仿宋"/>
          <w:color w:val="000000" w:themeColor="text1"/>
          <w:sz w:val="30"/>
          <w:szCs w:val="30"/>
          <w14:textFill>
            <w14:solidFill>
              <w14:schemeClr w14:val="tx1"/>
            </w14:solidFill>
          </w14:textFill>
        </w:rPr>
        <w:t>“十三五”期间</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围绕全面建成小康社会对水安全保障提出的新要求，坚持以人为本，立足于防大汛、抗大旱，坚持防汛防台抗旱并重，对防洪抗旱薄弱环节进行提升。</w:t>
      </w:r>
      <w:r>
        <w:rPr>
          <w:rFonts w:hint="eastAsia" w:ascii="仿宋" w:hAnsi="仿宋" w:eastAsia="仿宋" w:cs="仿宋"/>
          <w:color w:val="000000" w:themeColor="text1"/>
          <w:sz w:val="30"/>
          <w:szCs w:val="30"/>
          <w:lang w:val="en-US" w:eastAsia="zh-CN"/>
          <w14:textFill>
            <w14:solidFill>
              <w14:schemeClr w14:val="tx1"/>
            </w14:solidFill>
          </w14:textFill>
        </w:rPr>
        <w:t>深入实施龙泉溪、浮云溪综合治理工程等重大项目，累计完成21.81公里河道治理，新建护岸19.54公里，治理山洪沟5公里；完成了横山头水库及金竹砻水库2座水库除险加固工程；完成了杨梅湾等11座山塘综合整治工程；</w:t>
      </w:r>
      <w:r>
        <w:rPr>
          <w:rFonts w:hint="eastAsia" w:ascii="仿宋" w:hAnsi="仿宋" w:eastAsia="仿宋" w:cs="仿宋"/>
          <w:color w:val="000000" w:themeColor="text1"/>
          <w:sz w:val="30"/>
          <w:szCs w:val="30"/>
          <w14:textFill>
            <w14:solidFill>
              <w14:schemeClr w14:val="tx1"/>
            </w14:solidFill>
          </w14:textFill>
        </w:rPr>
        <w:t>区域防洪能力得到全面提高，建立和完善了防洪抗旱安全保障体系，洪涝灾害应对能力显著提高。</w:t>
      </w:r>
      <w:bookmarkStart w:id="11" w:name="_Hlk43109005"/>
      <w:r>
        <w:rPr>
          <w:rFonts w:hint="eastAsia" w:ascii="仿宋" w:hAnsi="仿宋" w:eastAsia="仿宋" w:cs="仿宋"/>
          <w:color w:val="000000" w:themeColor="text1"/>
          <w:sz w:val="30"/>
          <w:szCs w:val="30"/>
          <w14:textFill>
            <w14:solidFill>
              <w14:schemeClr w14:val="tx1"/>
            </w14:solidFill>
          </w14:textFill>
        </w:rPr>
        <w:t>到“十三五”期末</w:t>
      </w:r>
      <w:bookmarkEnd w:id="11"/>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城区</w:t>
      </w:r>
      <w:r>
        <w:rPr>
          <w:rFonts w:hint="eastAsia" w:ascii="仿宋" w:hAnsi="仿宋" w:eastAsia="仿宋" w:cs="仿宋"/>
          <w:color w:val="000000" w:themeColor="text1"/>
          <w:sz w:val="30"/>
          <w:szCs w:val="30"/>
          <w:lang w:val="en-US" w:eastAsia="zh-CN"/>
          <w14:textFill>
            <w14:solidFill>
              <w14:schemeClr w14:val="tx1"/>
            </w14:solidFill>
          </w14:textFill>
        </w:rPr>
        <w:t>及石塘、紧水滩、安溪等</w:t>
      </w:r>
      <w:r>
        <w:rPr>
          <w:rFonts w:hint="eastAsia" w:ascii="仿宋" w:hAnsi="仿宋" w:eastAsia="仿宋" w:cs="仿宋"/>
          <w:color w:val="000000" w:themeColor="text1"/>
          <w:sz w:val="30"/>
          <w:szCs w:val="30"/>
          <w14:textFill>
            <w14:solidFill>
              <w14:schemeClr w14:val="tx1"/>
            </w14:solidFill>
          </w14:textFill>
        </w:rPr>
        <w:t>乡镇防洪标准已达到20年一遇，成片农田、农村防洪标准已达到5～10年一遇</w:t>
      </w:r>
      <w:r>
        <w:rPr>
          <w:rFonts w:hint="eastAsia" w:ascii="仿宋" w:hAnsi="仿宋" w:eastAsia="仿宋" w:cs="仿宋"/>
          <w:color w:val="000000" w:themeColor="text1"/>
          <w:sz w:val="30"/>
          <w:szCs w:val="30"/>
          <w:lang w:eastAsia="zh-CN"/>
          <w14:textFill>
            <w14:solidFill>
              <w14:schemeClr w14:val="tx1"/>
            </w14:solidFill>
          </w14:textFill>
        </w:rPr>
        <w:t>。</w:t>
      </w:r>
    </w:p>
    <w:bookmarkEnd w:id="10"/>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1.1.2 </w:t>
      </w:r>
      <w:r>
        <w:rPr>
          <w:rFonts w:hint="eastAsia" w:ascii="仿宋" w:hAnsi="仿宋" w:eastAsia="仿宋" w:cs="仿宋"/>
          <w:b/>
          <w:sz w:val="32"/>
          <w:szCs w:val="32"/>
          <w:lang w:val="en-US" w:eastAsia="zh-CN"/>
        </w:rPr>
        <w:t>以</w:t>
      </w:r>
      <w:r>
        <w:rPr>
          <w:rFonts w:hint="eastAsia" w:ascii="仿宋" w:hAnsi="仿宋" w:eastAsia="仿宋" w:cs="仿宋"/>
          <w:b/>
          <w:sz w:val="32"/>
          <w:szCs w:val="32"/>
        </w:rPr>
        <w:t>构建资源水利体系</w:t>
      </w:r>
      <w:r>
        <w:rPr>
          <w:rFonts w:hint="eastAsia" w:ascii="仿宋" w:hAnsi="仿宋" w:cs="仿宋"/>
          <w:b/>
          <w:sz w:val="32"/>
          <w:szCs w:val="32"/>
          <w:lang w:val="en-US" w:eastAsia="zh-CN"/>
        </w:rPr>
        <w:t>为</w:t>
      </w:r>
      <w:r>
        <w:rPr>
          <w:rFonts w:hint="eastAsia" w:ascii="仿宋" w:hAnsi="仿宋" w:eastAsia="仿宋" w:cs="仿宋"/>
          <w:b/>
          <w:sz w:val="32"/>
          <w:szCs w:val="32"/>
          <w:lang w:val="en-US" w:eastAsia="zh-CN"/>
        </w:rPr>
        <w:t>关键点</w:t>
      </w:r>
      <w:r>
        <w:rPr>
          <w:rFonts w:hint="eastAsia" w:ascii="仿宋" w:hAnsi="仿宋" w:eastAsia="仿宋" w:cs="仿宋"/>
          <w:b/>
          <w:sz w:val="32"/>
          <w:szCs w:val="32"/>
          <w:lang w:eastAsia="zh-CN"/>
        </w:rPr>
        <w:t>，</w:t>
      </w:r>
      <w:r>
        <w:rPr>
          <w:rFonts w:hint="eastAsia" w:ascii="仿宋" w:hAnsi="仿宋" w:eastAsia="仿宋" w:cs="仿宋"/>
          <w:b/>
          <w:sz w:val="32"/>
          <w:szCs w:val="32"/>
        </w:rPr>
        <w:t>资源配置格局</w:t>
      </w:r>
      <w:r>
        <w:rPr>
          <w:rFonts w:hint="eastAsia" w:ascii="仿宋" w:hAnsi="仿宋" w:eastAsia="仿宋" w:cs="仿宋"/>
          <w:b/>
          <w:sz w:val="32"/>
          <w:szCs w:val="32"/>
          <w:lang w:val="en-US" w:eastAsia="zh-CN"/>
        </w:rPr>
        <w:t>得到大幅完善</w:t>
      </w:r>
    </w:p>
    <w:p>
      <w:pPr>
        <w:ind w:firstLine="600"/>
        <w:rPr>
          <w:rFonts w:eastAsia="仿宋"/>
          <w:color w:val="000000" w:themeColor="text1"/>
          <w:sz w:val="30"/>
          <w:szCs w:val="30"/>
          <w14:textFill>
            <w14:solidFill>
              <w14:schemeClr w14:val="tx1"/>
            </w14:solidFill>
          </w14:textFill>
        </w:rPr>
      </w:pPr>
      <w:bookmarkStart w:id="12" w:name="_Hlk55208429"/>
      <w:bookmarkStart w:id="13" w:name="_Hlk50633675"/>
      <w:r>
        <w:rPr>
          <w:rFonts w:hint="eastAsia" w:ascii="仿宋" w:hAnsi="仿宋" w:eastAsia="仿宋" w:cs="仿宋"/>
          <w:color w:val="000000" w:themeColor="text1"/>
          <w:sz w:val="30"/>
          <w:szCs w:val="30"/>
          <w14:textFill>
            <w14:solidFill>
              <w14:schemeClr w14:val="tx1"/>
            </w14:solidFill>
          </w14:textFill>
        </w:rPr>
        <w:t>“十三五”期间</w:t>
      </w:r>
      <w:bookmarkEnd w:id="12"/>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准确把握经济社会转型升级对水资源保障提出的新需求，实现从水资源开源节流并重向节水优先转变。在现有水资源配置总体格局基础上，坚持城乡统筹，增加蓄量、盘活存量，提升质量，</w:t>
      </w:r>
      <w:r>
        <w:rPr>
          <w:rFonts w:hint="eastAsia" w:ascii="仿宋" w:hAnsi="仿宋" w:eastAsia="仿宋" w:cs="仿宋"/>
          <w:color w:val="000000" w:themeColor="text1"/>
          <w:sz w:val="30"/>
          <w:szCs w:val="30"/>
          <w:lang w:val="en-US" w:eastAsia="zh-CN"/>
          <w14:textFill>
            <w14:solidFill>
              <w14:schemeClr w14:val="tx1"/>
            </w14:solidFill>
          </w14:textFill>
        </w:rPr>
        <w:t>积极开展备用水源建设，实施紧水滩引调水工程，从紧水滩水库引水至黄溪、木路溪及浮云溪，在为城市饮用水提供备用水源的同时满足浮云溪及黄溪生态环境用水需求，提升县城水资源保障能力。通过实施农村饮用水提升改造工程，对崇头水厂、石塘水厂、紧水滩水厂及全县范围内的单村水厂供水及消毒设施进行改造升级，开展美丽水厂建设，并实行统一规范化管理运营，全面提升了6.7万农村居民饮水条件，</w:t>
      </w:r>
      <w:r>
        <w:rPr>
          <w:rFonts w:hint="eastAsia" w:ascii="仿宋" w:hAnsi="仿宋" w:eastAsia="仿宋" w:cs="仿宋"/>
          <w:color w:val="000000" w:themeColor="text1"/>
          <w:sz w:val="30"/>
          <w:szCs w:val="30"/>
          <w14:textFill>
            <w14:solidFill>
              <w14:schemeClr w14:val="tx1"/>
            </w14:solidFill>
          </w14:textFill>
        </w:rPr>
        <w:t>让全</w:t>
      </w:r>
      <w:r>
        <w:rPr>
          <w:rFonts w:hint="eastAsia" w:ascii="仿宋" w:hAnsi="仿宋" w:eastAsia="仿宋" w:cs="仿宋"/>
          <w:color w:val="000000" w:themeColor="text1"/>
          <w:sz w:val="30"/>
          <w:szCs w:val="30"/>
          <w:lang w:val="en-US" w:eastAsia="zh-CN"/>
          <w14:textFill>
            <w14:solidFill>
              <w14:schemeClr w14:val="tx1"/>
            </w14:solidFill>
          </w14:textFill>
        </w:rPr>
        <w:t>县</w:t>
      </w:r>
      <w:r>
        <w:rPr>
          <w:rFonts w:hint="eastAsia" w:ascii="仿宋" w:hAnsi="仿宋" w:eastAsia="仿宋" w:cs="仿宋"/>
          <w:color w:val="000000" w:themeColor="text1"/>
          <w:sz w:val="30"/>
          <w:szCs w:val="30"/>
          <w14:textFill>
            <w14:solidFill>
              <w14:schemeClr w14:val="tx1"/>
            </w14:solidFill>
          </w14:textFill>
        </w:rPr>
        <w:t>所有农村人都喝上清洁的放心水；</w:t>
      </w:r>
      <w:r>
        <w:rPr>
          <w:rFonts w:hint="eastAsia" w:ascii="仿宋" w:hAnsi="仿宋" w:eastAsia="仿宋" w:cs="仿宋"/>
          <w:color w:val="000000" w:themeColor="text1"/>
          <w:sz w:val="30"/>
          <w:szCs w:val="30"/>
          <w:lang w:val="en-US" w:eastAsia="zh-CN"/>
          <w14:textFill>
            <w14:solidFill>
              <w14:schemeClr w14:val="tx1"/>
            </w14:solidFill>
          </w14:textFill>
        </w:rPr>
        <w:t>开发治理低丘红壤2300亩、建设1090亩坡耕地雨水集蓄微喷灌工程、新增高效节水灌溉面积7200亩、衬砌渠道60公里、改善灌溉面积4000亩、新建改建蓄水堰坝20座。农田抗旱排涝能力及</w:t>
      </w:r>
      <w:r>
        <w:rPr>
          <w:rFonts w:hint="eastAsia" w:ascii="仿宋" w:hAnsi="仿宋" w:eastAsia="仿宋" w:cs="仿宋"/>
          <w:color w:val="000000" w:themeColor="text1"/>
          <w:sz w:val="30"/>
          <w:szCs w:val="30"/>
          <w14:textFill>
            <w14:solidFill>
              <w14:schemeClr w14:val="tx1"/>
            </w14:solidFill>
          </w14:textFill>
        </w:rPr>
        <w:t>水资源保障能力</w:t>
      </w:r>
      <w:r>
        <w:rPr>
          <w:rFonts w:hint="eastAsia" w:ascii="仿宋" w:hAnsi="仿宋" w:eastAsia="仿宋" w:cs="仿宋"/>
          <w:color w:val="000000" w:themeColor="text1"/>
          <w:sz w:val="30"/>
          <w:szCs w:val="30"/>
          <w:lang w:val="en-US" w:eastAsia="zh-CN"/>
          <w14:textFill>
            <w14:solidFill>
              <w14:schemeClr w14:val="tx1"/>
            </w14:solidFill>
          </w14:textFill>
        </w:rPr>
        <w:t>得到</w:t>
      </w:r>
      <w:r>
        <w:rPr>
          <w:rFonts w:hint="eastAsia" w:ascii="仿宋" w:hAnsi="仿宋" w:eastAsia="仿宋" w:cs="仿宋"/>
          <w:color w:val="000000" w:themeColor="text1"/>
          <w:sz w:val="30"/>
          <w:szCs w:val="30"/>
          <w14:textFill>
            <w14:solidFill>
              <w14:schemeClr w14:val="tx1"/>
            </w14:solidFill>
          </w14:textFill>
        </w:rPr>
        <w:t>持续提升，到“十三五”期末，农村集中供水率达到</w:t>
      </w:r>
      <w:r>
        <w:rPr>
          <w:rFonts w:hint="eastAsia" w:ascii="仿宋" w:hAnsi="仿宋" w:eastAsia="仿宋" w:cs="仿宋"/>
          <w:color w:val="000000" w:themeColor="text1"/>
          <w:sz w:val="30"/>
          <w:szCs w:val="30"/>
          <w:lang w:val="en-US" w:eastAsia="zh-CN"/>
          <w14:textFill>
            <w14:solidFill>
              <w14:schemeClr w14:val="tx1"/>
            </w14:solidFill>
          </w14:textFill>
        </w:rPr>
        <w:t>96</w:t>
      </w:r>
      <w:r>
        <w:rPr>
          <w:rFonts w:hint="eastAsia" w:ascii="仿宋" w:hAnsi="仿宋" w:eastAsia="仿宋" w:cs="仿宋"/>
          <w:color w:val="000000" w:themeColor="text1"/>
          <w:sz w:val="30"/>
          <w:szCs w:val="30"/>
          <w14:textFill>
            <w14:solidFill>
              <w14:schemeClr w14:val="tx1"/>
            </w14:solidFill>
          </w14:textFill>
        </w:rPr>
        <w:t>%、自来水普及率达到</w:t>
      </w:r>
      <w:r>
        <w:rPr>
          <w:rFonts w:hint="eastAsia" w:ascii="仿宋" w:hAnsi="仿宋" w:eastAsia="仿宋" w:cs="仿宋"/>
          <w:color w:val="000000" w:themeColor="text1"/>
          <w:sz w:val="30"/>
          <w:szCs w:val="30"/>
          <w:lang w:val="en-US" w:eastAsia="zh-CN"/>
          <w14:textFill>
            <w14:solidFill>
              <w14:schemeClr w14:val="tx1"/>
            </w14:solidFill>
          </w14:textFill>
        </w:rPr>
        <w:t>99</w:t>
      </w:r>
      <w:r>
        <w:rPr>
          <w:rFonts w:hint="eastAsia" w:ascii="仿宋" w:hAnsi="仿宋" w:eastAsia="仿宋" w:cs="仿宋"/>
          <w:color w:val="000000" w:themeColor="text1"/>
          <w:sz w:val="30"/>
          <w:szCs w:val="30"/>
          <w14:textFill>
            <w14:solidFill>
              <w14:schemeClr w14:val="tx1"/>
            </w14:solidFill>
          </w14:textFill>
        </w:rPr>
        <w:t>%、供水保证率达到95%、水质达标率达到9</w:t>
      </w: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%、规模化工程供水人口覆盖比例达到</w:t>
      </w:r>
      <w:r>
        <w:rPr>
          <w:rFonts w:hint="eastAsia" w:ascii="仿宋" w:hAnsi="仿宋" w:eastAsia="仿宋" w:cs="仿宋"/>
          <w:color w:val="000000" w:themeColor="text1"/>
          <w:sz w:val="30"/>
          <w:szCs w:val="30"/>
          <w:lang w:val="en-US" w:eastAsia="zh-CN"/>
          <w14:textFill>
            <w14:solidFill>
              <w14:schemeClr w14:val="tx1"/>
            </w14:solidFill>
          </w14:textFill>
        </w:rPr>
        <w:t>61.47</w:t>
      </w:r>
      <w:r>
        <w:rPr>
          <w:rFonts w:hint="eastAsia" w:ascii="仿宋" w:hAnsi="仿宋" w:eastAsia="仿宋" w:cs="仿宋"/>
          <w:color w:val="000000" w:themeColor="text1"/>
          <w:sz w:val="30"/>
          <w:szCs w:val="30"/>
          <w14:textFill>
            <w14:solidFill>
              <w14:schemeClr w14:val="tx1"/>
            </w14:solidFill>
          </w14:textFill>
        </w:rPr>
        <w:t>%。</w:t>
      </w:r>
    </w:p>
    <w:bookmarkEnd w:id="13"/>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ascii="仿宋" w:hAnsi="仿宋" w:eastAsia="仿宋" w:cs="仿宋"/>
          <w:b/>
          <w:sz w:val="32"/>
          <w:szCs w:val="32"/>
          <w:lang w:val="en-US" w:eastAsia="zh-CN"/>
        </w:rPr>
        <w:t>以</w:t>
      </w:r>
      <w:r>
        <w:rPr>
          <w:rFonts w:hint="eastAsia" w:ascii="仿宋" w:hAnsi="仿宋" w:eastAsia="仿宋" w:cs="仿宋"/>
          <w:b/>
          <w:sz w:val="32"/>
          <w:szCs w:val="32"/>
        </w:rPr>
        <w:t>构建生态水利体系</w:t>
      </w:r>
      <w:r>
        <w:rPr>
          <w:rFonts w:hint="eastAsia" w:ascii="仿宋" w:hAnsi="仿宋" w:cs="仿宋"/>
          <w:b/>
          <w:sz w:val="32"/>
          <w:szCs w:val="32"/>
          <w:lang w:val="en-US" w:eastAsia="zh-CN"/>
        </w:rPr>
        <w:t>为</w:t>
      </w:r>
      <w:r>
        <w:rPr>
          <w:rFonts w:hint="eastAsia" w:ascii="仿宋" w:hAnsi="仿宋" w:eastAsia="仿宋" w:cs="仿宋"/>
          <w:b/>
          <w:sz w:val="32"/>
          <w:szCs w:val="32"/>
          <w:lang w:val="en-US" w:eastAsia="zh-CN"/>
        </w:rPr>
        <w:t>着重点</w:t>
      </w:r>
      <w:r>
        <w:rPr>
          <w:rFonts w:hint="eastAsia" w:ascii="仿宋" w:hAnsi="仿宋" w:eastAsia="仿宋" w:cs="仿宋"/>
          <w:b/>
          <w:sz w:val="32"/>
          <w:szCs w:val="32"/>
          <w:lang w:eastAsia="zh-CN"/>
        </w:rPr>
        <w:t>，</w:t>
      </w:r>
      <w:r>
        <w:rPr>
          <w:rFonts w:hint="eastAsia" w:ascii="仿宋" w:hAnsi="仿宋" w:eastAsia="仿宋" w:cs="仿宋"/>
          <w:b/>
          <w:sz w:val="32"/>
          <w:szCs w:val="32"/>
        </w:rPr>
        <w:t>河湖生态环境</w:t>
      </w:r>
      <w:r>
        <w:rPr>
          <w:rFonts w:hint="eastAsia" w:ascii="仿宋" w:hAnsi="仿宋" w:eastAsia="仿宋" w:cs="仿宋"/>
          <w:b/>
          <w:sz w:val="32"/>
          <w:szCs w:val="32"/>
          <w:lang w:val="en-US" w:eastAsia="zh-CN"/>
        </w:rPr>
        <w:t>得到明显改善</w:t>
      </w:r>
    </w:p>
    <w:p>
      <w:pPr>
        <w:ind w:firstLine="600"/>
        <w:rPr>
          <w:rFonts w:hint="eastAsia" w:ascii="仿宋" w:hAnsi="仿宋" w:eastAsia="仿宋" w:cs="仿宋"/>
          <w:color w:val="000000" w:themeColor="text1"/>
          <w:sz w:val="30"/>
          <w:szCs w:val="30"/>
          <w:lang w:val="en-US" w:eastAsia="zh-CN"/>
          <w14:textFill>
            <w14:solidFill>
              <w14:schemeClr w14:val="tx1"/>
            </w14:solidFill>
          </w14:textFill>
        </w:rPr>
      </w:pPr>
      <w:bookmarkStart w:id="14" w:name="_Hlk50633854"/>
      <w:r>
        <w:rPr>
          <w:rFonts w:hint="eastAsia" w:ascii="仿宋" w:hAnsi="仿宋" w:eastAsia="仿宋" w:cs="仿宋"/>
          <w:color w:val="000000" w:themeColor="text1"/>
          <w:sz w:val="30"/>
          <w:szCs w:val="30"/>
          <w14:textFill>
            <w14:solidFill>
              <w14:schemeClr w14:val="tx1"/>
            </w14:solidFill>
          </w14:textFill>
        </w:rPr>
        <w:t>“十三五”期间</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lang w:val="en-US" w:eastAsia="zh-CN"/>
          <w14:textFill>
            <w14:solidFill>
              <w14:schemeClr w14:val="tx1"/>
            </w14:solidFill>
          </w14:textFill>
        </w:rPr>
        <w:t>坚持节约与保护优先，自然恢复与治理修复相结合的方式，</w:t>
      </w:r>
      <w:r>
        <w:rPr>
          <w:rFonts w:hint="eastAsia" w:ascii="仿宋" w:hAnsi="仿宋" w:eastAsia="仿宋" w:cs="仿宋"/>
          <w:color w:val="000000" w:themeColor="text1"/>
          <w:sz w:val="30"/>
          <w:szCs w:val="30"/>
          <w14:textFill>
            <w14:solidFill>
              <w14:schemeClr w14:val="tx1"/>
            </w14:solidFill>
          </w14:textFill>
        </w:rPr>
        <w:t>以流域为整体集中连片推进，加强水生态环境的保护和脆弱河流生态修复，改善水环境、营造水景观</w:t>
      </w:r>
      <w:bookmarkEnd w:id="14"/>
      <w:r>
        <w:rPr>
          <w:rFonts w:hint="eastAsia" w:ascii="仿宋" w:hAnsi="仿宋" w:eastAsia="仿宋" w:cs="仿宋"/>
          <w:color w:val="000000" w:themeColor="text1"/>
          <w:sz w:val="30"/>
          <w:szCs w:val="30"/>
          <w14:textFill>
            <w14:solidFill>
              <w14:schemeClr w14:val="tx1"/>
            </w14:solidFill>
          </w14:textFill>
        </w:rPr>
        <w:t>。</w:t>
      </w:r>
      <w:bookmarkStart w:id="15" w:name="_Hlk50633915"/>
      <w:r>
        <w:rPr>
          <w:rFonts w:hint="eastAsia" w:ascii="仿宋" w:hAnsi="仿宋" w:eastAsia="仿宋" w:cs="仿宋"/>
          <w:color w:val="000000" w:themeColor="text1"/>
          <w:sz w:val="30"/>
          <w:szCs w:val="30"/>
          <w:lang w:val="en-US" w:eastAsia="zh-CN"/>
          <w14:textFill>
            <w14:solidFill>
              <w14:schemeClr w14:val="tx1"/>
            </w14:solidFill>
          </w14:textFill>
        </w:rPr>
        <w:t>持续完善水质监测网络及生态保护体系，以雾溪水库水源地保护为重点，采取水源地太阳能污水处理维护等措施对楼梯步水库等80余处饮用水水源地进行治理保护；全县水环境质量良好，以</w:t>
      </w:r>
      <w:r>
        <w:rPr>
          <w:rFonts w:hint="eastAsia" w:ascii="仿宋" w:hAnsi="仿宋" w:eastAsia="仿宋" w:cs="仿宋"/>
          <w:color w:val="000000" w:themeColor="text1"/>
          <w:sz w:val="30"/>
          <w:szCs w:val="30"/>
          <w:lang w:val="en-US" w:eastAsia="zh-CN"/>
          <w14:textFill>
            <w14:solidFill>
              <w14:schemeClr w14:val="tx1"/>
            </w14:solidFill>
          </w14:textFill>
        </w:rPr>
        <w:fldChar w:fldCharType="begin"/>
      </w:r>
      <w:r>
        <w:rPr>
          <w:rFonts w:hint="eastAsia" w:ascii="仿宋" w:hAnsi="仿宋" w:eastAsia="仿宋" w:cs="仿宋"/>
          <w:color w:val="000000" w:themeColor="text1"/>
          <w:sz w:val="30"/>
          <w:szCs w:val="30"/>
          <w:lang w:val="en-US" w:eastAsia="zh-CN"/>
          <w14:textFill>
            <w14:solidFill>
              <w14:schemeClr w14:val="tx1"/>
            </w14:solidFill>
          </w14:textFill>
        </w:rPr>
        <w:instrText xml:space="preserve"> = 1 \* ROMAN </w:instrText>
      </w:r>
      <w:r>
        <w:rPr>
          <w:rFonts w:hint="eastAsia" w:ascii="仿宋" w:hAnsi="仿宋" w:eastAsia="仿宋" w:cs="仿宋"/>
          <w:color w:val="000000" w:themeColor="text1"/>
          <w:sz w:val="30"/>
          <w:szCs w:val="30"/>
          <w:lang w:val="en-US" w:eastAsia="zh-CN"/>
          <w14:textFill>
            <w14:solidFill>
              <w14:schemeClr w14:val="tx1"/>
            </w14:solidFill>
          </w14:textFill>
        </w:rPr>
        <w:fldChar w:fldCharType="separate"/>
      </w:r>
      <w:r>
        <w:rPr>
          <w:rFonts w:hint="eastAsia" w:ascii="仿宋" w:hAnsi="仿宋" w:eastAsia="仿宋" w:cs="仿宋"/>
          <w:color w:val="000000" w:themeColor="text1"/>
          <w:sz w:val="30"/>
          <w:szCs w:val="30"/>
          <w:lang w:val="en-US" w:eastAsia="zh-CN"/>
          <w14:textFill>
            <w14:solidFill>
              <w14:schemeClr w14:val="tx1"/>
            </w14:solidFill>
          </w14:textFill>
        </w:rPr>
        <w:t>I</w:t>
      </w:r>
      <w:r>
        <w:rPr>
          <w:rFonts w:hint="eastAsia" w:ascii="仿宋" w:hAnsi="仿宋" w:eastAsia="仿宋" w:cs="仿宋"/>
          <w:color w:val="000000" w:themeColor="text1"/>
          <w:sz w:val="30"/>
          <w:szCs w:val="30"/>
          <w:lang w:val="en-US" w:eastAsia="zh-CN"/>
          <w14:textFill>
            <w14:solidFill>
              <w14:schemeClr w14:val="tx1"/>
            </w14:solidFill>
          </w14:textFill>
        </w:rPr>
        <w:fldChar w:fldCharType="end"/>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fldChar w:fldCharType="begin"/>
      </w:r>
      <w:r>
        <w:rPr>
          <w:rFonts w:hint="eastAsia" w:ascii="仿宋" w:hAnsi="仿宋" w:eastAsia="仿宋" w:cs="仿宋"/>
          <w:color w:val="000000" w:themeColor="text1"/>
          <w:sz w:val="30"/>
          <w:szCs w:val="30"/>
          <w:lang w:val="en-US" w:eastAsia="zh-CN"/>
          <w14:textFill>
            <w14:solidFill>
              <w14:schemeClr w14:val="tx1"/>
            </w14:solidFill>
          </w14:textFill>
        </w:rPr>
        <w:instrText xml:space="preserve"> = 2 \* ROMAN </w:instrText>
      </w:r>
      <w:r>
        <w:rPr>
          <w:rFonts w:hint="eastAsia" w:ascii="仿宋" w:hAnsi="仿宋" w:eastAsia="仿宋" w:cs="仿宋"/>
          <w:color w:val="000000" w:themeColor="text1"/>
          <w:sz w:val="30"/>
          <w:szCs w:val="30"/>
          <w:lang w:val="en-US" w:eastAsia="zh-CN"/>
          <w14:textFill>
            <w14:solidFill>
              <w14:schemeClr w14:val="tx1"/>
            </w14:solidFill>
          </w14:textFill>
        </w:rPr>
        <w:fldChar w:fldCharType="separate"/>
      </w:r>
      <w:r>
        <w:rPr>
          <w:rFonts w:hint="eastAsia" w:ascii="仿宋" w:hAnsi="仿宋" w:eastAsia="仿宋" w:cs="仿宋"/>
          <w:color w:val="000000" w:themeColor="text1"/>
          <w:sz w:val="30"/>
          <w:szCs w:val="30"/>
          <w:lang w:val="en-US" w:eastAsia="zh-CN"/>
          <w14:textFill>
            <w14:solidFill>
              <w14:schemeClr w14:val="tx1"/>
            </w14:solidFill>
          </w14:textFill>
        </w:rPr>
        <w:t>II</w:t>
      </w:r>
      <w:r>
        <w:rPr>
          <w:rFonts w:hint="eastAsia" w:ascii="仿宋" w:hAnsi="仿宋" w:eastAsia="仿宋" w:cs="仿宋"/>
          <w:color w:val="000000" w:themeColor="text1"/>
          <w:sz w:val="30"/>
          <w:szCs w:val="30"/>
          <w:lang w:val="en-US" w:eastAsia="zh-CN"/>
          <w14:textFill>
            <w14:solidFill>
              <w14:schemeClr w14:val="tx1"/>
            </w14:solidFill>
          </w14:textFill>
        </w:rPr>
        <w:fldChar w:fldCharType="end"/>
      </w:r>
      <w:r>
        <w:rPr>
          <w:rFonts w:hint="eastAsia" w:ascii="仿宋" w:hAnsi="仿宋" w:eastAsia="仿宋" w:cs="仿宋"/>
          <w:color w:val="000000" w:themeColor="text1"/>
          <w:sz w:val="30"/>
          <w:szCs w:val="30"/>
          <w:lang w:val="en-US" w:eastAsia="zh-CN"/>
          <w14:textFill>
            <w14:solidFill>
              <w14:schemeClr w14:val="tx1"/>
            </w14:solidFill>
          </w14:textFill>
        </w:rPr>
        <w:t>类水质为主，城区主要供水水源地雾溪水库水质达标率达到95%以上；完成5座小水电生态化改造，创建完成7座绿色小水电，河道生态流量得到充分保障；完成沈溪、漴溪两条流域水土流失治理，治理面积达30平方公里，并持续落实“河长制”，提高城乡居民生活环境；开展河道综合整治工作，累计整治河道72公里，建设金山下、店子、红光、上村及白垟墩村等11处“碧水映村”项目，创建完成泉溪、云坛溪等8条市级美丽河湖及安溪、浮云溪等4条省级美丽河湖，极大地提高了农村居民生活环境。</w:t>
      </w:r>
    </w:p>
    <w:bookmarkEnd w:id="15"/>
    <w:p>
      <w:pPr>
        <w:pStyle w:val="5"/>
        <w:ind w:firstLine="602"/>
        <w:rPr>
          <w:color w:val="000000" w:themeColor="text1"/>
          <w14:textFill>
            <w14:solidFill>
              <w14:schemeClr w14:val="tx1"/>
            </w14:solidFill>
          </w14:textFill>
        </w:rPr>
      </w:pPr>
      <w:bookmarkStart w:id="16" w:name="_Hlk50634286"/>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 xml:space="preserve"> </w:t>
      </w:r>
      <w:r>
        <w:rPr>
          <w:rFonts w:hint="eastAsia" w:ascii="仿宋" w:hAnsi="仿宋" w:eastAsia="仿宋" w:cs="仿宋"/>
          <w:b/>
          <w:sz w:val="32"/>
          <w:szCs w:val="32"/>
          <w:lang w:val="en-US" w:eastAsia="zh-CN"/>
        </w:rPr>
        <w:t>以</w:t>
      </w:r>
      <w:r>
        <w:rPr>
          <w:rFonts w:hint="eastAsia" w:ascii="仿宋" w:hAnsi="仿宋" w:eastAsia="仿宋" w:cs="仿宋"/>
          <w:b/>
          <w:sz w:val="32"/>
          <w:szCs w:val="32"/>
        </w:rPr>
        <w:t>构建智慧水利体系</w:t>
      </w:r>
      <w:r>
        <w:rPr>
          <w:rFonts w:hint="eastAsia" w:ascii="仿宋" w:hAnsi="仿宋" w:cs="仿宋"/>
          <w:b/>
          <w:sz w:val="32"/>
          <w:szCs w:val="32"/>
          <w:lang w:val="en-US" w:eastAsia="zh-CN"/>
        </w:rPr>
        <w:t>为</w:t>
      </w:r>
      <w:r>
        <w:rPr>
          <w:rFonts w:hint="eastAsia" w:ascii="仿宋" w:hAnsi="仿宋" w:eastAsia="仿宋" w:cs="仿宋"/>
          <w:b/>
          <w:sz w:val="32"/>
          <w:szCs w:val="32"/>
          <w:lang w:val="en-US" w:eastAsia="zh-CN"/>
        </w:rPr>
        <w:t>支撑点</w:t>
      </w:r>
      <w:r>
        <w:rPr>
          <w:rFonts w:hint="eastAsia" w:ascii="仿宋" w:hAnsi="仿宋" w:eastAsia="仿宋" w:cs="仿宋"/>
          <w:b/>
          <w:sz w:val="32"/>
          <w:szCs w:val="32"/>
          <w:lang w:eastAsia="zh-CN"/>
        </w:rPr>
        <w:t>，</w:t>
      </w:r>
      <w:r>
        <w:rPr>
          <w:rFonts w:hint="eastAsia" w:ascii="仿宋" w:hAnsi="仿宋" w:eastAsia="仿宋" w:cs="仿宋"/>
          <w:b/>
          <w:sz w:val="32"/>
          <w:szCs w:val="32"/>
        </w:rPr>
        <w:t>数字服务平台</w:t>
      </w:r>
      <w:r>
        <w:rPr>
          <w:rFonts w:hint="eastAsia" w:ascii="仿宋" w:hAnsi="仿宋" w:eastAsia="仿宋" w:cs="仿宋"/>
          <w:b/>
          <w:sz w:val="32"/>
          <w:szCs w:val="32"/>
          <w:lang w:val="en-US" w:eastAsia="zh-CN"/>
        </w:rPr>
        <w:t>得到全面升级</w:t>
      </w:r>
    </w:p>
    <w:p>
      <w:pPr>
        <w:ind w:firstLine="6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以深化水利管理体制改革为突破口，健全水利投入稳定增长机制，全面推进云和水利信息化建设，创新水管理方式，打造完成智慧水利系统，实现水利项目数字化管理。打造完成</w:t>
      </w:r>
      <w:r>
        <w:rPr>
          <w:rFonts w:hint="eastAsia" w:ascii="仿宋_GB2312" w:hAnsi="宋体" w:eastAsia="仿宋_GB2312"/>
          <w:sz w:val="32"/>
          <w:szCs w:val="32"/>
        </w:rPr>
        <w:t>生态流量平台</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安装</w:t>
      </w:r>
      <w:r>
        <w:rPr>
          <w:rFonts w:hint="eastAsia" w:ascii="仿宋_GB2312" w:hAnsi="宋体" w:eastAsia="仿宋_GB2312"/>
          <w:sz w:val="32"/>
          <w:szCs w:val="32"/>
        </w:rPr>
        <w:t>小水电监测视频监控31个点位，</w:t>
      </w:r>
      <w:r>
        <w:rPr>
          <w:rFonts w:hint="eastAsia" w:ascii="仿宋_GB2312" w:hAnsi="宋体" w:eastAsia="仿宋_GB2312"/>
          <w:sz w:val="32"/>
          <w:szCs w:val="32"/>
          <w:lang w:val="en-US" w:eastAsia="zh-CN"/>
        </w:rPr>
        <w:t>并</w:t>
      </w:r>
      <w:r>
        <w:rPr>
          <w:rFonts w:hint="eastAsia" w:ascii="仿宋_GB2312" w:hAnsi="宋体" w:eastAsia="仿宋_GB2312"/>
          <w:sz w:val="32"/>
          <w:szCs w:val="32"/>
        </w:rPr>
        <w:t>接入丽水智慧水电系统平台进行生态流量泄放监管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实现数据在线监测。</w:t>
      </w:r>
      <w:r>
        <w:rPr>
          <w:rFonts w:hint="eastAsia" w:ascii="仿宋" w:hAnsi="仿宋" w:eastAsia="仿宋" w:cs="仿宋"/>
          <w:color w:val="000000" w:themeColor="text1"/>
          <w:sz w:val="30"/>
          <w:szCs w:val="30"/>
          <w:lang w:val="en-US" w:eastAsia="zh-CN"/>
          <w14:textFill>
            <w14:solidFill>
              <w14:schemeClr w14:val="tx1"/>
            </w14:solidFill>
          </w14:textFill>
        </w:rPr>
        <w:t>同时积极开展人才培养和引进，实现本科以上文化程度人员和中级以上职称人才比例达到60%以上，主要水利工程的管理单位设置率、管理单位人员配置率、管理单位人员经费和维修养护经费落实率均达到95%以上，防汛五化全面达标。</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5</w:t>
      </w:r>
      <w:r>
        <w:rPr>
          <w:rFonts w:hint="eastAsia"/>
          <w:color w:val="000000" w:themeColor="text1"/>
          <w:lang w:val="en-US" w:eastAsia="zh-CN"/>
          <w14:textFill>
            <w14:solidFill>
              <w14:schemeClr w14:val="tx1"/>
            </w14:solidFill>
          </w14:textFill>
        </w:rPr>
        <w:t xml:space="preserve"> </w:t>
      </w:r>
      <w:r>
        <w:rPr>
          <w:rFonts w:hint="eastAsia" w:ascii="仿宋" w:hAnsi="仿宋" w:eastAsia="仿宋" w:cs="仿宋"/>
          <w:b/>
          <w:sz w:val="32"/>
          <w:szCs w:val="32"/>
          <w:lang w:val="en-US" w:eastAsia="zh-CN"/>
        </w:rPr>
        <w:t>以</w:t>
      </w:r>
      <w:r>
        <w:rPr>
          <w:rFonts w:hint="eastAsia" w:ascii="仿宋" w:hAnsi="仿宋" w:eastAsia="仿宋" w:cs="仿宋"/>
          <w:b/>
          <w:sz w:val="32"/>
          <w:szCs w:val="32"/>
        </w:rPr>
        <w:t>构建法治水利体系</w:t>
      </w:r>
      <w:r>
        <w:rPr>
          <w:rFonts w:hint="eastAsia" w:ascii="仿宋" w:hAnsi="仿宋" w:cs="仿宋"/>
          <w:b/>
          <w:sz w:val="32"/>
          <w:szCs w:val="32"/>
          <w:lang w:val="en-US" w:eastAsia="zh-CN"/>
        </w:rPr>
        <w:t>为</w:t>
      </w:r>
      <w:r>
        <w:rPr>
          <w:rFonts w:hint="eastAsia" w:ascii="仿宋" w:hAnsi="仿宋" w:eastAsia="仿宋" w:cs="仿宋"/>
          <w:b/>
          <w:sz w:val="32"/>
          <w:szCs w:val="32"/>
          <w:lang w:val="en-US" w:eastAsia="zh-CN"/>
        </w:rPr>
        <w:t>结合点</w:t>
      </w:r>
      <w:r>
        <w:rPr>
          <w:rFonts w:hint="eastAsia" w:ascii="仿宋" w:hAnsi="仿宋" w:eastAsia="仿宋" w:cs="仿宋"/>
          <w:b/>
          <w:sz w:val="32"/>
          <w:szCs w:val="32"/>
          <w:lang w:eastAsia="zh-CN"/>
        </w:rPr>
        <w:t>，</w:t>
      </w:r>
      <w:r>
        <w:rPr>
          <w:rFonts w:hint="eastAsia" w:ascii="仿宋" w:hAnsi="仿宋" w:eastAsia="仿宋" w:cs="仿宋"/>
          <w:b/>
          <w:sz w:val="32"/>
          <w:szCs w:val="32"/>
        </w:rPr>
        <w:t>法治制度体系</w:t>
      </w:r>
      <w:r>
        <w:rPr>
          <w:rFonts w:hint="eastAsia" w:ascii="仿宋" w:hAnsi="仿宋" w:eastAsia="仿宋" w:cs="仿宋"/>
          <w:b/>
          <w:sz w:val="32"/>
          <w:szCs w:val="32"/>
          <w:lang w:val="en-US" w:eastAsia="zh-CN"/>
        </w:rPr>
        <w:t>得到持续优化</w:t>
      </w:r>
      <w:r>
        <w:rPr>
          <w:color w:val="000000" w:themeColor="text1"/>
          <w14:textFill>
            <w14:solidFill>
              <w14:schemeClr w14:val="tx1"/>
            </w14:solidFill>
          </w14:textFill>
        </w:rPr>
        <w:t xml:space="preserve"> </w:t>
      </w:r>
    </w:p>
    <w:bookmarkEnd w:id="16"/>
    <w:p>
      <w:pPr>
        <w:ind w:firstLine="6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围绕着国家治理体系和治理能力现代化的总目标，着眼"先行试点、典型引路、分类实施、全面推进"的要求，进一步完善了涉河建设项目管理、水域和岸线保护、河湖采砂管理、水域占用补偿和岸线有偿使用等规章制度，建立了政府主导、水利牵头、有关部门配合的联合执法机制，“十三五”期间共制止各类水事违法事件140余起，水事违法案件查处率达100%。同时在“十三五”期间开展水域岸线登记和确权划界工作，实现水利工程划界率达到100%，确权率达到70%。</w:t>
      </w:r>
    </w:p>
    <w:p>
      <w:pPr>
        <w:pStyle w:val="5"/>
        <w:ind w:firstLine="602"/>
        <w:rPr>
          <w:rFonts w:hint="eastAsia" w:ascii="仿宋" w:hAnsi="仿宋" w:eastAsia="仿宋" w:cs="仿宋"/>
          <w:b/>
          <w:sz w:val="32"/>
          <w:szCs w:val="32"/>
          <w:lang w:val="en-US" w:eastAsia="zh-CN"/>
        </w:rPr>
      </w:pPr>
      <w:bookmarkStart w:id="17" w:name="_Toc19594"/>
      <w:r>
        <w:rPr>
          <w:rFonts w:hint="eastAsia" w:ascii="仿宋" w:hAnsi="仿宋" w:cs="仿宋"/>
          <w:b/>
          <w:sz w:val="32"/>
          <w:szCs w:val="32"/>
          <w:lang w:val="en-US" w:eastAsia="zh-CN"/>
        </w:rPr>
        <w:t>1.1.</w:t>
      </w:r>
      <w:r>
        <w:rPr>
          <w:rFonts w:hint="eastAsia" w:ascii="仿宋" w:hAnsi="仿宋" w:eastAsia="仿宋" w:cs="仿宋"/>
          <w:b/>
          <w:sz w:val="32"/>
          <w:szCs w:val="32"/>
          <w:lang w:val="en-US" w:eastAsia="zh-CN"/>
        </w:rPr>
        <w:t>6</w:t>
      </w:r>
      <w:r>
        <w:rPr>
          <w:rFonts w:hint="eastAsia" w:ascii="仿宋" w:hAnsi="仿宋" w:cs="仿宋"/>
          <w:b/>
          <w:sz w:val="32"/>
          <w:szCs w:val="32"/>
          <w:lang w:val="en-US" w:eastAsia="zh-CN"/>
        </w:rPr>
        <w:t xml:space="preserve"> </w:t>
      </w:r>
      <w:r>
        <w:rPr>
          <w:rFonts w:hint="eastAsia" w:ascii="仿宋" w:hAnsi="仿宋" w:eastAsia="仿宋" w:cs="仿宋"/>
          <w:b/>
          <w:sz w:val="32"/>
          <w:szCs w:val="32"/>
          <w:lang w:val="en-US" w:eastAsia="zh-CN"/>
        </w:rPr>
        <w:t>以构建文化水利体系落脚点，本土文化品牌得到充分彰显</w:t>
      </w:r>
    </w:p>
    <w:p>
      <w:pPr>
        <w:adjustRightInd w:val="0"/>
        <w:snapToGrid w:val="0"/>
        <w:spacing w:line="360" w:lineRule="auto"/>
        <w:ind w:firstLine="600" w:firstLineChars="200"/>
        <w:rPr>
          <w:rFonts w:hint="eastAsia" w:ascii="仿宋" w:hAnsi="仿宋" w:eastAsia="仿宋" w:cs="仿宋"/>
          <w:b w:val="0"/>
          <w:bCs/>
          <w:sz w:val="32"/>
          <w:szCs w:val="32"/>
          <w:lang w:val="en-US" w:eastAsia="zh-CN"/>
        </w:rPr>
      </w:pPr>
      <w:r>
        <w:rPr>
          <w:rFonts w:hint="eastAsia" w:ascii="仿宋" w:hAnsi="仿宋" w:eastAsia="仿宋" w:cs="仿宋"/>
          <w:color w:val="000000" w:themeColor="text1"/>
          <w:sz w:val="30"/>
          <w:szCs w:val="30"/>
          <w:lang w:val="en-US" w:eastAsia="zh-CN"/>
          <w14:textFill>
            <w14:solidFill>
              <w14:schemeClr w14:val="tx1"/>
            </w14:solidFill>
          </w14:textFill>
        </w:rPr>
        <w:t>依托云和特有的基底、禀赋和内涵，突出“山水家园、童话世界”的城市发展理念，丰富云和水文化内涵，创新生态发展，文化发展和旅游发展的新路径，推动水文化与生态、旅游等优势资源互促融合，创建完成了浮云溪、石浦村、云和梯田景区、小顺村及安溪乡下武村等5处水利风景区，其中云和梯田水利风景区入选为国家级水利风景区，彰显了地方品牌特色。同时，针对浮云溪流域，以新视野、新理念推动其水文化发展，以水弘文、以水成景，打造了独具特色的浮云溪景观，将现代水景观与历史水景观相结合，使水文化气息融入城市发展印记。</w:t>
      </w:r>
    </w:p>
    <w:p>
      <w:pPr>
        <w:ind w:firstLine="602"/>
        <w:jc w:val="center"/>
        <w:rPr>
          <w:rFonts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sz w:val="30"/>
          <w:szCs w:val="30"/>
          <w:highlight w:val="none"/>
          <w14:textFill>
            <w14:solidFill>
              <w14:schemeClr w14:val="tx1"/>
            </w14:solidFill>
          </w14:textFill>
        </w:rPr>
        <w:t>表1-1</w:t>
      </w:r>
      <w:r>
        <w:rPr>
          <w:rFonts w:ascii="仿宋" w:hAnsi="仿宋" w:eastAsia="仿宋" w:cs="仿宋"/>
          <w:b/>
          <w:bCs/>
          <w:color w:val="000000" w:themeColor="text1"/>
          <w:sz w:val="30"/>
          <w:szCs w:val="30"/>
          <w:highlight w:val="none"/>
          <w14:textFill>
            <w14:solidFill>
              <w14:schemeClr w14:val="tx1"/>
            </w14:solidFill>
          </w14:textFill>
        </w:rPr>
        <w:t xml:space="preserve"> </w:t>
      </w:r>
      <w:r>
        <w:rPr>
          <w:rFonts w:hint="eastAsia" w:ascii="仿宋" w:hAnsi="仿宋" w:eastAsia="仿宋" w:cs="仿宋"/>
          <w:b/>
          <w:bCs/>
          <w:color w:val="000000" w:themeColor="text1"/>
          <w:sz w:val="30"/>
          <w:szCs w:val="30"/>
          <w:highlight w:val="none"/>
          <w14:textFill>
            <w14:solidFill>
              <w14:schemeClr w14:val="tx1"/>
            </w14:solidFill>
          </w14:textFill>
        </w:rPr>
        <w:t xml:space="preserve"> </w:t>
      </w:r>
      <w:r>
        <w:rPr>
          <w:rFonts w:hint="eastAsia" w:ascii="仿宋" w:hAnsi="仿宋" w:eastAsia="仿宋" w:cs="仿宋"/>
          <w:b/>
          <w:bCs/>
          <w:color w:val="000000" w:themeColor="text1"/>
          <w:sz w:val="30"/>
          <w:szCs w:val="30"/>
          <w:highlight w:val="none"/>
          <w:lang w:val="en-US" w:eastAsia="zh-CN"/>
          <w14:textFill>
            <w14:solidFill>
              <w14:schemeClr w14:val="tx1"/>
            </w14:solidFill>
          </w14:textFill>
        </w:rPr>
        <w:t>云和县</w:t>
      </w:r>
      <w:r>
        <w:rPr>
          <w:rFonts w:hint="eastAsia" w:ascii="仿宋" w:hAnsi="仿宋" w:eastAsia="仿宋" w:cs="仿宋"/>
          <w:b/>
          <w:bCs/>
          <w:color w:val="000000" w:themeColor="text1"/>
          <w:sz w:val="30"/>
          <w:szCs w:val="30"/>
          <w:highlight w:val="none"/>
          <w14:textFill>
            <w14:solidFill>
              <w14:schemeClr w14:val="tx1"/>
            </w14:solidFill>
          </w14:textFill>
        </w:rPr>
        <w:t>“十三五”主要指标完成情况表</w:t>
      </w:r>
    </w:p>
    <w:tbl>
      <w:tblPr>
        <w:tblStyle w:val="22"/>
        <w:tblW w:w="892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5"/>
        <w:gridCol w:w="1560"/>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846" w:type="dxa"/>
            <w:vAlign w:val="center"/>
          </w:tcPr>
          <w:p>
            <w:pPr>
              <w:spacing w:line="400" w:lineRule="exact"/>
              <w:ind w:firstLine="0" w:firstLineChars="0"/>
              <w:jc w:val="center"/>
              <w:rPr>
                <w:rFonts w:eastAsia="仿宋"/>
                <w:color w:val="000000" w:themeColor="text1"/>
                <w:sz w:val="21"/>
                <w:szCs w:val="21"/>
                <w:highlight w:val="none"/>
                <w14:textFill>
                  <w14:solidFill>
                    <w14:schemeClr w14:val="tx1"/>
                  </w14:solidFill>
                </w14:textFill>
              </w:rPr>
            </w:pPr>
            <w:r>
              <w:rPr>
                <w:rFonts w:eastAsia="仿宋"/>
                <w:color w:val="000000" w:themeColor="text1"/>
                <w:sz w:val="21"/>
                <w:szCs w:val="21"/>
                <w:highlight w:val="none"/>
                <w14:textFill>
                  <w14:solidFill>
                    <w14:schemeClr w14:val="tx1"/>
                  </w14:solidFill>
                </w14:textFill>
              </w:rPr>
              <w:t>序号</w:t>
            </w:r>
          </w:p>
        </w:tc>
        <w:tc>
          <w:tcPr>
            <w:tcW w:w="3685" w:type="dxa"/>
            <w:vAlign w:val="center"/>
          </w:tcPr>
          <w:p>
            <w:pPr>
              <w:spacing w:line="400" w:lineRule="exact"/>
              <w:ind w:firstLine="0" w:firstLineChars="0"/>
              <w:jc w:val="center"/>
              <w:rPr>
                <w:rFonts w:eastAsia="仿宋"/>
                <w:color w:val="000000" w:themeColor="text1"/>
                <w:sz w:val="21"/>
                <w:szCs w:val="21"/>
                <w:highlight w:val="none"/>
                <w14:textFill>
                  <w14:solidFill>
                    <w14:schemeClr w14:val="tx1"/>
                  </w14:solidFill>
                </w14:textFill>
              </w:rPr>
            </w:pPr>
            <w:r>
              <w:rPr>
                <w:rFonts w:eastAsia="仿宋"/>
                <w:color w:val="000000" w:themeColor="text1"/>
                <w:sz w:val="21"/>
                <w:szCs w:val="21"/>
                <w:highlight w:val="none"/>
                <w14:textFill>
                  <w14:solidFill>
                    <w14:schemeClr w14:val="tx1"/>
                  </w14:solidFill>
                </w14:textFill>
              </w:rPr>
              <w:t>指标名称</w:t>
            </w:r>
          </w:p>
        </w:tc>
        <w:tc>
          <w:tcPr>
            <w:tcW w:w="1560" w:type="dxa"/>
            <w:vAlign w:val="center"/>
          </w:tcPr>
          <w:p>
            <w:pPr>
              <w:spacing w:line="400" w:lineRule="exact"/>
              <w:ind w:firstLine="0" w:firstLineChars="0"/>
              <w:jc w:val="center"/>
              <w:rPr>
                <w:rFonts w:eastAsia="仿宋"/>
                <w:color w:val="000000" w:themeColor="text1"/>
                <w:sz w:val="21"/>
                <w:szCs w:val="21"/>
                <w:highlight w:val="none"/>
                <w14:textFill>
                  <w14:solidFill>
                    <w14:schemeClr w14:val="tx1"/>
                  </w14:solidFill>
                </w14:textFill>
              </w:rPr>
            </w:pPr>
            <w:r>
              <w:rPr>
                <w:rFonts w:eastAsia="仿宋"/>
                <w:color w:val="000000" w:themeColor="text1"/>
                <w:sz w:val="21"/>
                <w:szCs w:val="21"/>
                <w:highlight w:val="none"/>
                <w14:textFill>
                  <w14:solidFill>
                    <w14:schemeClr w14:val="tx1"/>
                  </w14:solidFill>
                </w14:textFill>
              </w:rPr>
              <w:t>“十三五”规划目标值</w:t>
            </w:r>
          </w:p>
        </w:tc>
        <w:tc>
          <w:tcPr>
            <w:tcW w:w="1559" w:type="dxa"/>
            <w:vAlign w:val="center"/>
          </w:tcPr>
          <w:p>
            <w:pPr>
              <w:spacing w:line="400" w:lineRule="exact"/>
              <w:ind w:firstLine="0" w:firstLineChars="0"/>
              <w:jc w:val="center"/>
              <w:rPr>
                <w:rFonts w:eastAsia="仿宋"/>
                <w:color w:val="000000" w:themeColor="text1"/>
                <w:sz w:val="21"/>
                <w:szCs w:val="21"/>
                <w:highlight w:val="none"/>
                <w14:textFill>
                  <w14:solidFill>
                    <w14:schemeClr w14:val="tx1"/>
                  </w14:solidFill>
                </w14:textFill>
              </w:rPr>
            </w:pPr>
            <w:r>
              <w:rPr>
                <w:rFonts w:eastAsia="仿宋"/>
                <w:color w:val="000000" w:themeColor="text1"/>
                <w:sz w:val="21"/>
                <w:szCs w:val="21"/>
                <w:highlight w:val="none"/>
                <w14:textFill>
                  <w14:solidFill>
                    <w14:schemeClr w14:val="tx1"/>
                  </w14:solidFill>
                </w14:textFill>
              </w:rPr>
              <w:t>完成情况</w:t>
            </w:r>
          </w:p>
        </w:tc>
        <w:tc>
          <w:tcPr>
            <w:tcW w:w="1276" w:type="dxa"/>
            <w:vAlign w:val="center"/>
          </w:tcPr>
          <w:p>
            <w:pPr>
              <w:spacing w:line="400" w:lineRule="exact"/>
              <w:ind w:firstLine="0" w:firstLineChars="0"/>
              <w:jc w:val="center"/>
              <w:rPr>
                <w:rFonts w:eastAsia="仿宋"/>
                <w:color w:val="000000" w:themeColor="text1"/>
                <w:sz w:val="21"/>
                <w:szCs w:val="21"/>
                <w:highlight w:val="none"/>
                <w14:textFill>
                  <w14:solidFill>
                    <w14:schemeClr w14:val="tx1"/>
                  </w14:solidFill>
                </w14:textFill>
              </w:rPr>
            </w:pPr>
            <w:r>
              <w:rPr>
                <w:rFonts w:eastAsia="仿宋"/>
                <w:color w:val="000000" w:themeColor="text1"/>
                <w:sz w:val="21"/>
                <w:szCs w:val="21"/>
                <w:highlight w:val="none"/>
                <w14:textFill>
                  <w14:solidFill>
                    <w14:schemeClr w14:val="tx1"/>
                  </w14:solidFill>
                </w14:textFill>
              </w:rPr>
              <w:t>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万元工业增加值用水量（m³）</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37.3</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14.2</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超前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2</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农田灌溉水有效利用系数</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&gt;0.65</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0.586</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滞后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3</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重点水功能区水质达标率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100%</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4</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县级以上城市中心区防洪达标率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&gt;95%</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98%</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5</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瓯江干流20年一遇及以上堤防达标率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&gt;95%</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6</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水旱灾害损失率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&lt;1.0%</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0.07%</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7</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县级以上城市湖库型水源地供水人口覆盖率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&gt;95%</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98%</w:t>
            </w:r>
          </w:p>
        </w:tc>
        <w:tc>
          <w:tcPr>
            <w:tcW w:w="1276"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8</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县级以上城市集中式饮用水水源地合格率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100</w:t>
            </w:r>
            <w:r>
              <w:rPr>
                <w:rFonts w:hint="eastAsia" w:ascii="Times New Roman" w:hAnsi="Times New Roman" w:eastAsia="仿宋" w:cs="Times New Roman"/>
                <w:color w:val="000000" w:themeColor="text1"/>
                <w:sz w:val="21"/>
                <w:szCs w:val="21"/>
                <w:highlight w:val="none"/>
                <w:lang w:val="en-US" w:eastAsia="zh-CN"/>
                <w14:textFill>
                  <w14:solidFill>
                    <w14:schemeClr w14:val="tx1"/>
                  </w14:solidFill>
                </w14:textFill>
              </w:rPr>
              <w:t>%</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9</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农村自来水入户率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&gt;99%</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10</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农业“两区”旱涝保收面积率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99%</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99%</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11</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高效节水灌溉面积率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&gt;15%</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17%</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12</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水利工程标准化管理</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100%</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13</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水事违法案件查处率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&gt;90%</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eastAsia"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14</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水利工程划界率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100%</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100%</w:t>
            </w:r>
          </w:p>
        </w:tc>
        <w:tc>
          <w:tcPr>
            <w:tcW w:w="1276"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6"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15</w:t>
            </w:r>
          </w:p>
        </w:tc>
        <w:tc>
          <w:tcPr>
            <w:tcW w:w="3685" w:type="dxa"/>
            <w:vAlign w:val="center"/>
          </w:tcPr>
          <w:p>
            <w:pPr>
              <w:spacing w:line="400" w:lineRule="exact"/>
              <w:ind w:firstLine="0" w:firstLineChars="0"/>
              <w:jc w:val="center"/>
              <w:rPr>
                <w:rFonts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水利工程确权率</w:t>
            </w:r>
          </w:p>
        </w:tc>
        <w:tc>
          <w:tcPr>
            <w:tcW w:w="1560" w:type="dxa"/>
            <w:vAlign w:val="center"/>
          </w:tcPr>
          <w:p>
            <w:pPr>
              <w:spacing w:line="400" w:lineRule="exact"/>
              <w:ind w:firstLine="0" w:firstLineChars="0"/>
              <w:jc w:val="center"/>
              <w:rPr>
                <w:rFonts w:hint="eastAsia" w:ascii="Times New Roman" w:hAnsi="Times New Roman" w:eastAsia="仿宋" w:cs="Times New Roman"/>
                <w:color w:val="000000" w:themeColor="text1"/>
                <w:sz w:val="21"/>
                <w:szCs w:val="21"/>
                <w:highlight w:val="none"/>
                <w14:textFill>
                  <w14:solidFill>
                    <w14:schemeClr w14:val="tx1"/>
                  </w14:solidFill>
                </w14:textFill>
              </w:rPr>
            </w:pPr>
            <w:r>
              <w:rPr>
                <w:rFonts w:hint="eastAsia" w:ascii="Times New Roman" w:hAnsi="Times New Roman" w:eastAsia="仿宋" w:cs="Times New Roman"/>
                <w:color w:val="000000" w:themeColor="text1"/>
                <w:sz w:val="21"/>
                <w:szCs w:val="21"/>
                <w:highlight w:val="none"/>
                <w14:textFill>
                  <w14:solidFill>
                    <w14:schemeClr w14:val="tx1"/>
                  </w14:solidFill>
                </w14:textFill>
              </w:rPr>
              <w:t>70%</w:t>
            </w:r>
          </w:p>
        </w:tc>
        <w:tc>
          <w:tcPr>
            <w:tcW w:w="1559"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70%</w:t>
            </w:r>
          </w:p>
        </w:tc>
        <w:tc>
          <w:tcPr>
            <w:tcW w:w="1276" w:type="dxa"/>
            <w:vAlign w:val="center"/>
          </w:tcPr>
          <w:p>
            <w:pPr>
              <w:spacing w:line="400" w:lineRule="exact"/>
              <w:ind w:firstLine="0" w:firstLineChars="0"/>
              <w:jc w:val="center"/>
              <w:rPr>
                <w:rFonts w:hint="default" w:eastAsia="仿宋"/>
                <w:color w:val="000000" w:themeColor="text1"/>
                <w:sz w:val="21"/>
                <w:szCs w:val="21"/>
                <w:highlight w:val="none"/>
                <w:lang w:val="en-US" w:eastAsia="zh-CN"/>
                <w14:textFill>
                  <w14:solidFill>
                    <w14:schemeClr w14:val="tx1"/>
                  </w14:solidFill>
                </w14:textFill>
              </w:rPr>
            </w:pPr>
            <w:r>
              <w:rPr>
                <w:rFonts w:hint="eastAsia" w:eastAsia="仿宋"/>
                <w:color w:val="000000" w:themeColor="text1"/>
                <w:sz w:val="21"/>
                <w:szCs w:val="21"/>
                <w:highlight w:val="none"/>
                <w:lang w:val="en-US" w:eastAsia="zh-CN"/>
                <w14:textFill>
                  <w14:solidFill>
                    <w14:schemeClr w14:val="tx1"/>
                  </w14:solidFill>
                </w14:textFill>
              </w:rPr>
              <w:t>完成</w:t>
            </w:r>
          </w:p>
        </w:tc>
      </w:tr>
    </w:tbl>
    <w:p>
      <w:pPr>
        <w:ind w:firstLine="0" w:firstLineChars="0"/>
        <w:jc w:val="center"/>
        <w:rPr>
          <w:rFonts w:ascii="仿宋" w:hAnsi="仿宋" w:eastAsia="仿宋" w:cs="仿宋"/>
          <w:color w:val="000000" w:themeColor="text1"/>
          <w:sz w:val="30"/>
          <w:szCs w:val="30"/>
          <w14:textFill>
            <w14:solidFill>
              <w14:schemeClr w14:val="tx1"/>
            </w14:solidFill>
          </w14:textFill>
        </w:rPr>
      </w:pPr>
    </w:p>
    <w:p>
      <w:pPr>
        <w:pStyle w:val="4"/>
        <w:ind w:firstLine="602"/>
        <w:rPr>
          <w:rFonts w:ascii="仿宋" w:hAnsi="仿宋" w:cs="仿宋"/>
          <w:color w:val="000000" w:themeColor="text1"/>
          <w:szCs w:val="30"/>
          <w14:textFill>
            <w14:solidFill>
              <w14:schemeClr w14:val="tx1"/>
            </w14:solidFill>
          </w14:textFill>
        </w:rPr>
      </w:pPr>
      <w:bookmarkStart w:id="18" w:name="_Toc10712"/>
      <w:r>
        <w:rPr>
          <w:rFonts w:hint="eastAsia" w:ascii="仿宋" w:hAnsi="仿宋" w:cs="仿宋"/>
          <w:color w:val="000000" w:themeColor="text1"/>
          <w:szCs w:val="30"/>
          <w:lang w:val="en-US" w:eastAsia="zh-CN"/>
          <w14:textFill>
            <w14:solidFill>
              <w14:schemeClr w14:val="tx1"/>
            </w14:solidFill>
          </w14:textFill>
        </w:rPr>
        <w:t>1.2</w:t>
      </w:r>
      <w:r>
        <w:rPr>
          <w:rFonts w:hint="eastAsia" w:ascii="仿宋" w:hAnsi="仿宋" w:cs="仿宋"/>
          <w:color w:val="000000" w:themeColor="text1"/>
          <w:szCs w:val="30"/>
          <w14:textFill>
            <w14:solidFill>
              <w14:schemeClr w14:val="tx1"/>
            </w14:solidFill>
          </w14:textFill>
        </w:rPr>
        <w:t>面临的新形势和新要求</w:t>
      </w:r>
      <w:bookmarkEnd w:id="17"/>
      <w:bookmarkEnd w:id="18"/>
    </w:p>
    <w:p>
      <w:pPr>
        <w:ind w:firstLine="6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五”规划是全面开启现代化强国建设新征程的第一个五年规划。党中央、国务院高度重视水安全，在一系列的方针政策和国家战略中，都对水利发展做出了部署。新时期，省市县各个层面都提出了新的战略，省级层面提出了“四大建设”，作为全省推进“两个高水平”建设的大平台和高质量发展的主战场，市级层面提出以“丽水之干”立行高质量绿色发展，全力打造诗画浙江大花园的最美核心区；县级层面提出奋力打造新型城镇化样板县域“重要窗口”，乘势而上开启新时代云和社会主义现代化建设新征程</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这些方针、政策以及战略部署对</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水利发展提出了更高的要求。</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国家层面</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党的十九大报告在部署建设现代化经济体系中，把水利摆在九大基础设施网络建设之首，纳入深化供给侧结构性改革“补短板”的重要领域。国务院2018年10月印发的关于保持基础设施领域补短板力度的指导意见中，也对加快推进水利领域补短板工程建设做出了明确部署和要求。党的十九届四中全会提出要推进国家治理体系和治理能力现代化，水利治理现代化是国家治理体系和治理能力现代化的重要组成部分，也是省（市县）域治理现代化在水利领域的落实和体现。2019年1月召开的全国水利工作会议，水利部在分析当前我国治水主要矛盾深刻变化的基础上，明确提出了“水利工程补短板，水利行业强监管”的水利改革发展总基调，要求</w:t>
      </w:r>
      <w:bookmarkStart w:id="19" w:name="_Hlk55226886"/>
      <w:r>
        <w:rPr>
          <w:rFonts w:hint="eastAsia" w:ascii="仿宋" w:hAnsi="仿宋" w:eastAsia="仿宋" w:cs="仿宋"/>
          <w:color w:val="000000" w:themeColor="text1"/>
          <w:sz w:val="30"/>
          <w:szCs w:val="30"/>
          <w14:textFill>
            <w14:solidFill>
              <w14:schemeClr w14:val="tx1"/>
            </w14:solidFill>
          </w14:textFill>
        </w:rPr>
        <w:t>构建与社会主义现代化进程相适应的水安全保障体系，推进水治理体系和治理能力现代化</w:t>
      </w:r>
      <w:bookmarkEnd w:id="19"/>
      <w:r>
        <w:rPr>
          <w:rFonts w:hint="eastAsia" w:ascii="仿宋" w:hAnsi="仿宋" w:eastAsia="仿宋" w:cs="仿宋"/>
          <w:color w:val="000000" w:themeColor="text1"/>
          <w:sz w:val="30"/>
          <w:szCs w:val="30"/>
          <w14:textFill>
            <w14:solidFill>
              <w14:schemeClr w14:val="tx1"/>
            </w14:solidFill>
          </w14:textFill>
        </w:rPr>
        <w:t>。分析上述政策，从服务经济社会发展方面</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水利需要进一步加强基础设施网络建设，补齐短板；从水利自身发展方面，</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水利在补齐短板的基础上，加强水利行业监管，构建与社会主义现代化进程相适应的水安全保障体系，推进水治理体系和治理能力现代化。</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省级层面看</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省第十四次党代会和省十三届人大一次会议做出提出全面实施“大湾区”、“大花园”、“大通道”、“大都市”区建设重大决策和战略部署，作为全省推进“两个高水平”建设的大平台和高质量发展的主战场。水利作为是浙江大花园的核心内容，是“重要窗口”的核心载体，有着特别突出的地位。2020年省政府工作报告中明确提出：要大力提升自然灾害防治能力，实施自然灾害防治重点工程，加强地质灾害、小流域山洪、城市内涝等重点领域风险防控，加快防台防洪排涝等水利工程建设。同时，再次将“农村饮用水达标提标行动”“美丽河湖创建”列入十大民生实事。2019年2月28日召开的全省水利工作会议上，省水利厅提了要把水利工作思路和行动统一到“补短板、强监管、走前列，推动水利高质量发展”的总要求上，着力在“补短板、强监管、水旱灾害防御、重大民生实事、数字化转型、重大改革”等六大方面取得新突破。对标省里政策，结合</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水利实际情况，坚持需求导向、问题导向、高质量导向，补齐防洪保安、水资源保障、水生态环境、水景观文化等工程领域短板，强化水管理能力建设，在幸福河湖建设、水景观文化建设、河（湖）长管护机制改革等方面走在前列。</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市级层面</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丽水</w:t>
      </w:r>
      <w:r>
        <w:rPr>
          <w:rFonts w:hint="eastAsia" w:ascii="仿宋" w:hAnsi="仿宋" w:eastAsia="仿宋" w:cs="仿宋"/>
          <w:color w:val="000000" w:themeColor="text1"/>
          <w:sz w:val="30"/>
          <w:szCs w:val="30"/>
          <w14:textFill>
            <w14:solidFill>
              <w14:schemeClr w14:val="tx1"/>
            </w14:solidFill>
          </w14:textFill>
        </w:rPr>
        <w:t>市举全市之力探索将生态优势转化为经济社会发展优势。2019年2月，丽水市委在“两山”发展大会上首次提出了要实现高质量绿色发展的目标，全力打造诗画浙江大花园的最美核心区；推动“生态经济化、经济生态化”，画好“山水画”，念好“山字经”，写好“水经注”。2020年市委经济工作会议和两会中均将水利作为推进丽水与全省同步建成小康社会的重要举措，明确要求加大水利基础设施项目投资，加快小流域综合治理补短板；推进全域禁止采砂；全力创建幸福瓯江国家河川公园，串珠成链推进瓯江山水诗之路建设。4月，市委胡海峰书记对丽水幸福河建设作出重要批示：“水”是丽水顾名思义的天然本底和战略资源，理应努力使每一条河流成为“幸福河”。从生态价值转换方面也要“五水共治”“五水共营（赢）”。8月，市委四届八次会议上审议通过了《关于大力推进跨山统筹 全面加快区域协调发展的决定》，构建“一带三区”发展新格局，以瓯江为脉，实施“一主一副”双核多点城镇发展战略；构建“一园三片”涉水产业发展布局，</w:t>
      </w:r>
      <w:bookmarkStart w:id="20" w:name="_Hlk55292520"/>
      <w:r>
        <w:rPr>
          <w:rFonts w:hint="eastAsia" w:ascii="仿宋" w:hAnsi="仿宋" w:eastAsia="仿宋" w:cs="仿宋"/>
          <w:color w:val="000000" w:themeColor="text1"/>
          <w:sz w:val="30"/>
          <w:szCs w:val="30"/>
          <w14:textFill>
            <w14:solidFill>
              <w14:schemeClr w14:val="tx1"/>
            </w14:solidFill>
          </w14:textFill>
        </w:rPr>
        <w:t>统筹建设若干特色水产业发展基地，加快发展水经济</w:t>
      </w:r>
      <w:bookmarkEnd w:id="20"/>
      <w:r>
        <w:rPr>
          <w:rFonts w:hint="eastAsia" w:ascii="仿宋" w:hAnsi="仿宋" w:eastAsia="仿宋" w:cs="仿宋"/>
          <w:color w:val="000000" w:themeColor="text1"/>
          <w:sz w:val="30"/>
          <w:szCs w:val="30"/>
          <w14:textFill>
            <w14:solidFill>
              <w14:schemeClr w14:val="tx1"/>
            </w14:solidFill>
          </w14:textFill>
        </w:rPr>
        <w:t>,其中</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的定位是经典文化聚落区。市里的相关政策方针，要求</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水利高质量绿色发展，“十四五”时期，需要围绕防洪安全、水资源保障、幸福河、智慧水利、水生态价值转换，激发水利高质量发展的内生动力，实现水利高质量绿色发展。</w:t>
      </w:r>
    </w:p>
    <w:p>
      <w:pPr>
        <w:pStyle w:val="5"/>
        <w:ind w:firstLine="602"/>
        <w:rPr>
          <w:rFonts w:hint="eastAsia"/>
          <w:b/>
          <w:bCs/>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1.2.</w:t>
      </w:r>
      <w:r>
        <w:rPr>
          <w:rFonts w:hint="eastAsia"/>
          <w:b/>
          <w:bCs/>
          <w:color w:val="000000" w:themeColor="text1"/>
          <w:highlight w:val="none"/>
          <w14:textFill>
            <w14:solidFill>
              <w14:schemeClr w14:val="tx1"/>
            </w14:solidFill>
          </w14:textFill>
        </w:rPr>
        <w:t>4</w:t>
      </w:r>
      <w:r>
        <w:rPr>
          <w:rFonts w:hint="eastAsia"/>
          <w:b/>
          <w:bCs/>
          <w:color w:val="000000" w:themeColor="text1"/>
          <w:highlight w:val="none"/>
          <w:lang w:val="en-US" w:eastAsia="zh-CN"/>
          <w14:textFill>
            <w14:solidFill>
              <w14:schemeClr w14:val="tx1"/>
            </w14:solidFill>
          </w14:textFill>
        </w:rPr>
        <w:t xml:space="preserve"> </w:t>
      </w:r>
      <w:r>
        <w:rPr>
          <w:rFonts w:hint="eastAsia"/>
          <w:b/>
          <w:bCs/>
          <w:color w:val="000000" w:themeColor="text1"/>
          <w:highlight w:val="none"/>
          <w14:textFill>
            <w14:solidFill>
              <w14:schemeClr w14:val="tx1"/>
            </w14:solidFill>
          </w14:textFill>
        </w:rPr>
        <w:t>县级层面</w:t>
      </w:r>
    </w:p>
    <w:p>
      <w:pPr>
        <w:ind w:firstLine="600"/>
        <w:rPr>
          <w:rFonts w:ascii="仿宋" w:hAnsi="仿宋" w:eastAsia="仿宋" w:cs="仿宋"/>
          <w:b/>
          <w:bCs/>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云和县委十四届十二次全体（扩大）会议，聚焦“重要窗口”建设，聚力云和县域治理现代化，提出要努力</w:t>
      </w:r>
      <w:r>
        <w:rPr>
          <w:rFonts w:hint="eastAsia" w:ascii="仿宋" w:hAnsi="仿宋" w:eastAsia="仿宋" w:cs="仿宋"/>
          <w:color w:val="000000" w:themeColor="text1"/>
          <w:sz w:val="30"/>
          <w:szCs w:val="30"/>
          <w14:textFill>
            <w14:solidFill>
              <w14:schemeClr w14:val="tx1"/>
            </w14:solidFill>
          </w14:textFill>
        </w:rPr>
        <w:t>打造全国山区新型城镇化样板县域</w:t>
      </w:r>
      <w:r>
        <w:rPr>
          <w:rFonts w:hint="eastAsia" w:ascii="仿宋" w:hAnsi="仿宋" w:eastAsia="仿宋" w:cs="仿宋"/>
          <w:color w:val="000000" w:themeColor="text1"/>
          <w:sz w:val="30"/>
          <w:szCs w:val="30"/>
          <w:lang w:val="en-US" w:eastAsia="zh-CN"/>
          <w14:textFill>
            <w14:solidFill>
              <w14:schemeClr w14:val="tx1"/>
            </w14:solidFill>
          </w14:textFill>
        </w:rPr>
        <w:t>目标任务。</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w:t>
      </w:r>
      <w:r>
        <w:rPr>
          <w:rFonts w:hint="eastAsia" w:ascii="仿宋" w:hAnsi="仿宋" w:eastAsia="仿宋" w:cs="仿宋"/>
          <w:b w:val="0"/>
          <w:bCs w:val="0"/>
          <w:color w:val="000000" w:themeColor="text1"/>
          <w:sz w:val="30"/>
          <w:szCs w:val="30"/>
          <w:highlight w:val="none"/>
          <w14:textFill>
            <w14:solidFill>
              <w14:schemeClr w14:val="tx1"/>
            </w14:solidFill>
          </w14:textFill>
        </w:rPr>
        <w:t>得天独厚，</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县域内水系众多，水域面积宽广</w:t>
      </w:r>
      <w:r>
        <w:rPr>
          <w:rFonts w:hint="eastAsia" w:ascii="仿宋" w:hAnsi="仿宋" w:eastAsia="仿宋" w:cs="仿宋"/>
          <w:b w:val="0"/>
          <w:bCs w:val="0"/>
          <w:color w:val="000000" w:themeColor="text1"/>
          <w:sz w:val="30"/>
          <w:szCs w:val="30"/>
          <w:highlight w:val="none"/>
          <w14:textFill>
            <w14:solidFill>
              <w14:schemeClr w14:val="tx1"/>
            </w14:solidFill>
          </w14:textFill>
        </w:rPr>
        <w:t>，绿水青山就是</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w:t>
      </w:r>
      <w:r>
        <w:rPr>
          <w:rFonts w:hint="eastAsia" w:ascii="仿宋" w:hAnsi="仿宋" w:eastAsia="仿宋" w:cs="仿宋"/>
          <w:b w:val="0"/>
          <w:bCs w:val="0"/>
          <w:color w:val="000000" w:themeColor="text1"/>
          <w:sz w:val="30"/>
          <w:szCs w:val="30"/>
          <w:highlight w:val="none"/>
          <w14:textFill>
            <w14:solidFill>
              <w14:schemeClr w14:val="tx1"/>
            </w14:solidFill>
          </w14:textFill>
        </w:rPr>
        <w:t>的最大优势和潜力所在，也是</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w:t>
      </w:r>
      <w:r>
        <w:rPr>
          <w:rFonts w:hint="eastAsia" w:ascii="仿宋" w:hAnsi="仿宋" w:eastAsia="仿宋" w:cs="仿宋"/>
          <w:b w:val="0"/>
          <w:bCs w:val="0"/>
          <w:color w:val="000000" w:themeColor="text1"/>
          <w:sz w:val="30"/>
          <w:szCs w:val="30"/>
          <w:highlight w:val="none"/>
          <w14:textFill>
            <w14:solidFill>
              <w14:schemeClr w14:val="tx1"/>
            </w14:solidFill>
          </w14:textFill>
        </w:rPr>
        <w:t>的金山银山、百姓的增收财源，如何利用</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w:t>
      </w:r>
      <w:r>
        <w:rPr>
          <w:rFonts w:hint="eastAsia" w:ascii="仿宋" w:hAnsi="仿宋" w:eastAsia="仿宋" w:cs="仿宋"/>
          <w:b w:val="0"/>
          <w:bCs w:val="0"/>
          <w:color w:val="000000" w:themeColor="text1"/>
          <w:sz w:val="30"/>
          <w:szCs w:val="30"/>
          <w:highlight w:val="none"/>
          <w14:textFill>
            <w14:solidFill>
              <w14:schemeClr w14:val="tx1"/>
            </w14:solidFill>
          </w14:textFill>
        </w:rPr>
        <w:t>的底蕴，打开两山理论转换的通道，发挥水利的作用，是“十四五”期间</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w:t>
      </w:r>
      <w:r>
        <w:rPr>
          <w:rFonts w:hint="eastAsia" w:ascii="仿宋" w:hAnsi="仿宋" w:eastAsia="仿宋" w:cs="仿宋"/>
          <w:b w:val="0"/>
          <w:bCs w:val="0"/>
          <w:color w:val="000000" w:themeColor="text1"/>
          <w:sz w:val="30"/>
          <w:szCs w:val="30"/>
          <w:highlight w:val="none"/>
          <w14:textFill>
            <w14:solidFill>
              <w14:schemeClr w14:val="tx1"/>
            </w14:solidFill>
          </w14:textFill>
        </w:rPr>
        <w:t>水利面临的新要求，需要为水产业发展做好水利支撑，促进水生态价值转换，加快发展水经济，成为践行“两山”理念“样板地、模范生”，为</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云和县</w:t>
      </w:r>
      <w:r>
        <w:rPr>
          <w:rFonts w:hint="eastAsia" w:ascii="仿宋" w:hAnsi="仿宋" w:eastAsia="仿宋" w:cs="仿宋"/>
          <w:b w:val="0"/>
          <w:bCs w:val="0"/>
          <w:color w:val="000000" w:themeColor="text1"/>
          <w:sz w:val="30"/>
          <w:szCs w:val="30"/>
          <w:highlight w:val="none"/>
          <w14:textFill>
            <w14:solidFill>
              <w14:schemeClr w14:val="tx1"/>
            </w14:solidFill>
          </w14:textFill>
        </w:rPr>
        <w:t>打造独具匠心的文化名城提供强有力的水安全保障支撑。</w:t>
      </w:r>
    </w:p>
    <w:p>
      <w:pPr>
        <w:pStyle w:val="4"/>
        <w:ind w:firstLine="602"/>
        <w:rPr>
          <w:rFonts w:hint="eastAsia" w:ascii="仿宋" w:hAnsi="仿宋" w:cs="仿宋"/>
          <w:color w:val="000000" w:themeColor="text1"/>
          <w:szCs w:val="30"/>
          <w:lang w:val="en-US" w:eastAsia="zh-CN"/>
          <w14:textFill>
            <w14:solidFill>
              <w14:schemeClr w14:val="tx1"/>
            </w14:solidFill>
          </w14:textFill>
        </w:rPr>
      </w:pPr>
      <w:bookmarkStart w:id="21" w:name="_Toc28667"/>
      <w:bookmarkStart w:id="22" w:name="_Toc9811"/>
      <w:r>
        <w:rPr>
          <w:rFonts w:hint="eastAsia" w:ascii="仿宋" w:hAnsi="仿宋" w:cs="仿宋"/>
          <w:color w:val="000000" w:themeColor="text1"/>
          <w:szCs w:val="30"/>
          <w:lang w:val="en-US" w:eastAsia="zh-CN"/>
          <w14:textFill>
            <w14:solidFill>
              <w14:schemeClr w14:val="tx1"/>
            </w14:solidFill>
          </w14:textFill>
        </w:rPr>
        <w:t>1.3存在的问题</w:t>
      </w:r>
      <w:bookmarkEnd w:id="21"/>
      <w:bookmarkEnd w:id="22"/>
    </w:p>
    <w:p>
      <w:pPr>
        <w:pStyle w:val="5"/>
        <w:ind w:firstLine="602"/>
        <w:rPr>
          <w:color w:val="000000" w:themeColor="text1"/>
          <w14:textFill>
            <w14:solidFill>
              <w14:schemeClr w14:val="tx1"/>
            </w14:solidFill>
          </w14:textFill>
        </w:rPr>
      </w:pPr>
      <w:bookmarkStart w:id="23" w:name="_Hlk50634905"/>
      <w:r>
        <w:rPr>
          <w:rFonts w:hint="eastAsia"/>
          <w:color w:val="000000" w:themeColor="text1"/>
          <w:lang w:val="en-US" w:eastAsia="zh-CN"/>
          <w14:textFill>
            <w14:solidFill>
              <w14:schemeClr w14:val="tx1"/>
            </w14:solidFill>
          </w14:textFill>
        </w:rPr>
        <w:t>1.3.1</w:t>
      </w:r>
      <w:bookmarkStart w:id="24" w:name="_Hlk43645529"/>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防洪</w:t>
      </w:r>
      <w:r>
        <w:rPr>
          <w:rFonts w:hint="eastAsia"/>
          <w:color w:val="000000" w:themeColor="text1"/>
          <w:lang w:val="en-US" w:eastAsia="zh-CN"/>
          <w14:textFill>
            <w14:solidFill>
              <w14:schemeClr w14:val="tx1"/>
            </w14:solidFill>
          </w14:textFill>
        </w:rPr>
        <w:t>安全</w:t>
      </w:r>
      <w:r>
        <w:rPr>
          <w:rFonts w:hint="eastAsia"/>
          <w:color w:val="000000" w:themeColor="text1"/>
          <w14:textFill>
            <w14:solidFill>
              <w14:schemeClr w14:val="tx1"/>
            </w14:solidFill>
          </w14:textFill>
        </w:rPr>
        <w:t>能力</w:t>
      </w:r>
      <w:bookmarkEnd w:id="24"/>
      <w:r>
        <w:rPr>
          <w:rFonts w:hint="eastAsia"/>
          <w:color w:val="000000" w:themeColor="text1"/>
          <w14:textFill>
            <w14:solidFill>
              <w14:schemeClr w14:val="tx1"/>
            </w14:solidFill>
          </w14:textFill>
        </w:rPr>
        <w:t>需持续提高</w:t>
      </w:r>
    </w:p>
    <w:p>
      <w:pPr>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防洪能力有待提升</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浮云溪流域</w:t>
      </w:r>
      <w:r>
        <w:rPr>
          <w:rFonts w:hint="eastAsia" w:ascii="仿宋" w:hAnsi="仿宋" w:eastAsia="仿宋" w:cs="仿宋"/>
          <w:color w:val="000000" w:themeColor="text1"/>
          <w:sz w:val="30"/>
          <w:szCs w:val="30"/>
          <w14:textFill>
            <w14:solidFill>
              <w14:schemeClr w14:val="tx1"/>
            </w14:solidFill>
          </w14:textFill>
        </w:rPr>
        <w:t>控制性工程未全部建成，</w:t>
      </w:r>
      <w:r>
        <w:rPr>
          <w:rFonts w:hint="eastAsia" w:ascii="仿宋" w:hAnsi="仿宋" w:eastAsia="仿宋" w:cs="仿宋"/>
          <w:color w:val="000000" w:themeColor="text1"/>
          <w:sz w:val="30"/>
          <w:szCs w:val="30"/>
          <w:lang w:val="en-US"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城区部分地段堤防或护岸建设未完成，区域防洪尚未形成完整的闭合圈，</w:t>
      </w:r>
      <w:r>
        <w:rPr>
          <w:rFonts w:hint="eastAsia" w:ascii="仿宋" w:hAnsi="仿宋" w:eastAsia="仿宋" w:cs="仿宋"/>
          <w:color w:val="000000" w:themeColor="text1"/>
          <w:sz w:val="30"/>
          <w:szCs w:val="30"/>
          <w:lang w:val="en-US" w:eastAsia="zh-CN"/>
          <w14:textFill>
            <w14:solidFill>
              <w14:schemeClr w14:val="tx1"/>
            </w14:solidFill>
          </w14:textFill>
        </w:rPr>
        <w:t>同时部分</w:t>
      </w:r>
      <w:r>
        <w:rPr>
          <w:rFonts w:hint="eastAsia" w:ascii="仿宋" w:hAnsi="仿宋" w:eastAsia="仿宋" w:cs="仿宋"/>
          <w:color w:val="000000" w:themeColor="text1"/>
          <w:sz w:val="30"/>
          <w:szCs w:val="30"/>
          <w14:textFill>
            <w14:solidFill>
              <w14:schemeClr w14:val="tx1"/>
            </w14:solidFill>
          </w14:textFill>
        </w:rPr>
        <w:t>乡镇</w:t>
      </w:r>
      <w:r>
        <w:rPr>
          <w:rFonts w:hint="eastAsia" w:ascii="仿宋" w:hAnsi="仿宋" w:eastAsia="仿宋" w:cs="仿宋"/>
          <w:color w:val="000000" w:themeColor="text1"/>
          <w:sz w:val="30"/>
          <w:szCs w:val="30"/>
          <w:lang w:val="en-US" w:eastAsia="zh-CN"/>
          <w14:textFill>
            <w14:solidFill>
              <w14:schemeClr w14:val="tx1"/>
            </w14:solidFill>
          </w14:textFill>
        </w:rPr>
        <w:t>堤防</w:t>
      </w:r>
      <w:r>
        <w:rPr>
          <w:rFonts w:hint="eastAsia" w:ascii="仿宋" w:hAnsi="仿宋" w:eastAsia="仿宋" w:cs="仿宋"/>
          <w:color w:val="000000" w:themeColor="text1"/>
          <w:sz w:val="30"/>
          <w:szCs w:val="30"/>
          <w14:textFill>
            <w14:solidFill>
              <w14:schemeClr w14:val="tx1"/>
            </w14:solidFill>
          </w14:textFill>
        </w:rPr>
        <w:t>防洪标准</w:t>
      </w:r>
      <w:r>
        <w:rPr>
          <w:rFonts w:hint="eastAsia" w:ascii="仿宋" w:hAnsi="仿宋" w:eastAsia="仿宋" w:cs="仿宋"/>
          <w:color w:val="000000" w:themeColor="text1"/>
          <w:sz w:val="30"/>
          <w:szCs w:val="30"/>
          <w:lang w:val="en-US" w:eastAsia="zh-CN"/>
          <w14:textFill>
            <w14:solidFill>
              <w14:schemeClr w14:val="tx1"/>
            </w14:solidFill>
          </w14:textFill>
        </w:rPr>
        <w:t>不高</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大</w:t>
      </w:r>
      <w:r>
        <w:rPr>
          <w:rFonts w:hint="eastAsia" w:ascii="仿宋" w:hAnsi="仿宋" w:eastAsia="仿宋" w:cs="仿宋"/>
          <w:color w:val="000000" w:themeColor="text1"/>
          <w:sz w:val="30"/>
          <w:szCs w:val="30"/>
          <w14:textFill>
            <w14:solidFill>
              <w14:schemeClr w14:val="tx1"/>
            </w14:solidFill>
          </w14:textFill>
        </w:rPr>
        <w:t>部分达不到国家规定的防洪标准。近年来，</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遭遇的不同程度的洪涝灾害，对两岸人民群众的生命财产构成了威胁，制约了社会经济的发展，暴露出城市防洪减灾的短板，防洪排涝抗风险综合能力不强，有待进一步提升。</w:t>
      </w:r>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水库山塘工程病险问题仍然存在</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全县</w:t>
      </w:r>
      <w:r>
        <w:rPr>
          <w:rFonts w:hint="eastAsia" w:ascii="仿宋" w:hAnsi="仿宋" w:eastAsia="仿宋" w:cs="仿宋"/>
          <w:color w:val="000000" w:themeColor="text1"/>
          <w:sz w:val="30"/>
          <w:szCs w:val="30"/>
          <w14:textFill>
            <w14:solidFill>
              <w14:schemeClr w14:val="tx1"/>
            </w14:solidFill>
          </w14:textFill>
        </w:rPr>
        <w:t>部分</w:t>
      </w:r>
      <w:r>
        <w:rPr>
          <w:rFonts w:hint="eastAsia" w:ascii="仿宋" w:hAnsi="仿宋" w:eastAsia="仿宋" w:cs="仿宋"/>
          <w:color w:val="000000" w:themeColor="text1"/>
          <w:sz w:val="30"/>
          <w:szCs w:val="30"/>
          <w:lang w:val="en-US" w:eastAsia="zh-CN"/>
          <w14:textFill>
            <w14:solidFill>
              <w14:schemeClr w14:val="tx1"/>
            </w14:solidFill>
          </w14:textFill>
        </w:rPr>
        <w:t>水库</w:t>
      </w:r>
      <w:r>
        <w:rPr>
          <w:rFonts w:hint="eastAsia" w:ascii="仿宋" w:hAnsi="仿宋" w:eastAsia="仿宋" w:cs="仿宋"/>
          <w:color w:val="000000" w:themeColor="text1"/>
          <w:sz w:val="30"/>
          <w:szCs w:val="30"/>
          <w14:textFill>
            <w14:solidFill>
              <w14:schemeClr w14:val="tx1"/>
            </w14:solidFill>
          </w14:textFill>
        </w:rPr>
        <w:t>山塘仍存在安全隐患，安全鉴定和除险加固工作存在一定的滞后。</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1.3.2 </w:t>
      </w:r>
      <w:r>
        <w:rPr>
          <w:rFonts w:hint="eastAsia"/>
          <w:color w:val="000000" w:themeColor="text1"/>
          <w14:textFill>
            <w14:solidFill>
              <w14:schemeClr w14:val="tx1"/>
            </w14:solidFill>
          </w14:textFill>
        </w:rPr>
        <w:t>水源配置需要加快补齐短板。</w:t>
      </w:r>
    </w:p>
    <w:p>
      <w:pPr>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水资源时空分布不均衡，</w:t>
      </w:r>
      <w:r>
        <w:rPr>
          <w:rFonts w:hint="eastAsia" w:ascii="仿宋" w:hAnsi="仿宋" w:eastAsia="仿宋" w:cs="仿宋"/>
          <w:b/>
          <w:bCs/>
          <w:color w:val="000000" w:themeColor="text1"/>
          <w:sz w:val="30"/>
          <w:szCs w:val="30"/>
          <w14:textFill>
            <w14:solidFill>
              <w14:schemeClr w14:val="tx1"/>
            </w14:solidFill>
          </w14:textFill>
        </w:rPr>
        <w:t>城乡供水有待深化。</w:t>
      </w:r>
      <w:r>
        <w:rPr>
          <w:rFonts w:hint="eastAsia" w:ascii="仿宋" w:hAnsi="仿宋" w:eastAsia="仿宋" w:cs="仿宋"/>
          <w:color w:val="000000" w:themeColor="text1"/>
          <w:sz w:val="30"/>
          <w:szCs w:val="30"/>
          <w14:textFill>
            <w14:solidFill>
              <w14:schemeClr w14:val="tx1"/>
            </w14:solidFill>
          </w14:textFill>
        </w:rPr>
        <w:t>目前</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供水存在的主要问题是供水水源单一，缺乏突变应急能力。</w:t>
      </w:r>
      <w:r>
        <w:rPr>
          <w:rFonts w:hint="eastAsia" w:ascii="仿宋" w:hAnsi="仿宋" w:eastAsia="仿宋" w:cs="仿宋"/>
          <w:color w:val="000000" w:themeColor="text1"/>
          <w:sz w:val="30"/>
          <w:szCs w:val="30"/>
          <w:lang w:val="en-US" w:eastAsia="zh-CN"/>
          <w14:textFill>
            <w14:solidFill>
              <w14:schemeClr w14:val="tx1"/>
            </w14:solidFill>
          </w14:textFill>
        </w:rPr>
        <w:t>目前，</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中心城区</w:t>
      </w:r>
      <w:r>
        <w:rPr>
          <w:rFonts w:hint="eastAsia" w:ascii="仿宋" w:hAnsi="仿宋" w:eastAsia="仿宋" w:cs="仿宋"/>
          <w:color w:val="000000" w:themeColor="text1"/>
          <w:sz w:val="30"/>
          <w:szCs w:val="30"/>
          <w:lang w:val="en-US" w:eastAsia="zh-CN"/>
          <w14:textFill>
            <w14:solidFill>
              <w14:schemeClr w14:val="tx1"/>
            </w14:solidFill>
          </w14:textFill>
        </w:rPr>
        <w:t>饮用水</w:t>
      </w:r>
      <w:r>
        <w:rPr>
          <w:rFonts w:hint="eastAsia" w:ascii="仿宋" w:hAnsi="仿宋" w:eastAsia="仿宋" w:cs="仿宋"/>
          <w:color w:val="000000" w:themeColor="text1"/>
          <w:sz w:val="30"/>
          <w:szCs w:val="30"/>
          <w14:textFill>
            <w14:solidFill>
              <w14:schemeClr w14:val="tx1"/>
            </w14:solidFill>
          </w14:textFill>
        </w:rPr>
        <w:t>水源</w:t>
      </w:r>
      <w:r>
        <w:rPr>
          <w:rFonts w:hint="eastAsia" w:ascii="仿宋" w:hAnsi="仿宋" w:eastAsia="仿宋" w:cs="仿宋"/>
          <w:color w:val="000000" w:themeColor="text1"/>
          <w:sz w:val="30"/>
          <w:szCs w:val="30"/>
          <w:lang w:val="en-US" w:eastAsia="zh-CN"/>
          <w14:textFill>
            <w14:solidFill>
              <w14:schemeClr w14:val="tx1"/>
            </w14:solidFill>
          </w14:textFill>
        </w:rPr>
        <w:t>地为雾溪水库</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其</w:t>
      </w:r>
      <w:r>
        <w:rPr>
          <w:rFonts w:hint="eastAsia" w:ascii="仿宋" w:hAnsi="仿宋" w:eastAsia="仿宋" w:cs="仿宋"/>
          <w:color w:val="000000" w:themeColor="text1"/>
          <w:sz w:val="30"/>
          <w:szCs w:val="30"/>
          <w14:textFill>
            <w14:solidFill>
              <w14:schemeClr w14:val="tx1"/>
            </w14:solidFill>
          </w14:textFill>
        </w:rPr>
        <w:t>水源水质基本能够满足城市供水需求。</w:t>
      </w:r>
      <w:r>
        <w:rPr>
          <w:rFonts w:hint="eastAsia" w:ascii="仿宋" w:hAnsi="仿宋" w:eastAsia="仿宋" w:cs="仿宋"/>
          <w:color w:val="000000" w:themeColor="text1"/>
          <w:sz w:val="30"/>
          <w:szCs w:val="30"/>
          <w:lang w:val="en-US" w:eastAsia="zh-CN"/>
          <w14:textFill>
            <w14:solidFill>
              <w14:schemeClr w14:val="tx1"/>
            </w14:solidFill>
          </w14:textFill>
        </w:rPr>
        <w:t>为提高县城供水的应急保障能力以及满足未来</w:t>
      </w:r>
      <w:r>
        <w:rPr>
          <w:rFonts w:hint="eastAsia" w:ascii="仿宋" w:hAnsi="仿宋" w:eastAsia="仿宋" w:cs="仿宋"/>
          <w:color w:val="000000" w:themeColor="text1"/>
          <w:sz w:val="30"/>
          <w:szCs w:val="30"/>
          <w14:textFill>
            <w14:solidFill>
              <w14:schemeClr w14:val="tx1"/>
            </w14:solidFill>
          </w14:textFill>
        </w:rPr>
        <w:t>社会发展的需要，需要完成</w:t>
      </w:r>
      <w:r>
        <w:rPr>
          <w:rFonts w:hint="eastAsia" w:ascii="仿宋" w:hAnsi="仿宋" w:eastAsia="仿宋" w:cs="仿宋"/>
          <w:color w:val="000000" w:themeColor="text1"/>
          <w:sz w:val="30"/>
          <w:szCs w:val="30"/>
          <w:lang w:val="en-US" w:eastAsia="zh-CN"/>
          <w14:textFill>
            <w14:solidFill>
              <w14:schemeClr w14:val="tx1"/>
            </w14:solidFill>
          </w14:textFill>
        </w:rPr>
        <w:t>紧水滩引调</w:t>
      </w:r>
      <w:r>
        <w:rPr>
          <w:rFonts w:hint="eastAsia" w:ascii="仿宋" w:hAnsi="仿宋" w:eastAsia="仿宋" w:cs="仿宋"/>
          <w:color w:val="000000" w:themeColor="text1"/>
          <w:sz w:val="30"/>
          <w:szCs w:val="30"/>
          <w14:textFill>
            <w14:solidFill>
              <w14:schemeClr w14:val="tx1"/>
            </w14:solidFill>
          </w14:textFill>
        </w:rPr>
        <w:t>水工程，</w:t>
      </w:r>
      <w:r>
        <w:rPr>
          <w:rFonts w:hint="eastAsia" w:ascii="仿宋" w:hAnsi="仿宋" w:eastAsia="仿宋" w:cs="仿宋"/>
          <w:color w:val="000000" w:themeColor="text1"/>
          <w:sz w:val="30"/>
          <w:szCs w:val="30"/>
          <w:lang w:val="en-US" w:eastAsia="zh-CN"/>
          <w14:textFill>
            <w14:solidFill>
              <w14:schemeClr w14:val="tx1"/>
            </w14:solidFill>
          </w14:textFill>
        </w:rPr>
        <w:t>从紧水滩水库引水至木路溪作为备用水源</w:t>
      </w:r>
      <w:r>
        <w:rPr>
          <w:rFonts w:hint="eastAsia" w:ascii="仿宋" w:hAnsi="仿宋" w:eastAsia="仿宋" w:cs="仿宋"/>
          <w:color w:val="000000" w:themeColor="text1"/>
          <w:sz w:val="30"/>
          <w:szCs w:val="30"/>
          <w14:textFill>
            <w14:solidFill>
              <w14:schemeClr w14:val="tx1"/>
            </w14:solidFill>
          </w14:textFill>
        </w:rPr>
        <w:t>；部分农村供水工程水源在枯水期水量不足，水源水质无法得到保证，需要开源；农村饮水工程分散，涉及面广，对水源保护难度大，水源地保护措施有待进一步完善。</w:t>
      </w:r>
    </w:p>
    <w:p>
      <w:pPr>
        <w:ind w:firstLine="602"/>
        <w:rPr>
          <w:rFonts w:ascii="仿宋" w:hAnsi="仿宋" w:eastAsia="仿宋" w:cs="仿宋"/>
          <w:b w:val="0"/>
          <w:bCs w:val="0"/>
          <w:color w:val="000000" w:themeColor="text1"/>
          <w:sz w:val="30"/>
          <w:szCs w:val="30"/>
          <w:highlight w:val="cya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各项用水指标同先进地区差距大，节水型社会建设有待加强。</w:t>
      </w:r>
      <w:r>
        <w:rPr>
          <w:rFonts w:hint="eastAsia" w:ascii="仿宋" w:hAnsi="仿宋" w:eastAsia="仿宋" w:cs="仿宋"/>
          <w:b w:val="0"/>
          <w:bCs w:val="0"/>
          <w:color w:val="000000" w:themeColor="text1"/>
          <w:sz w:val="30"/>
          <w:szCs w:val="30"/>
          <w:lang w:val="en-US" w:eastAsia="zh-CN"/>
          <w14:textFill>
            <w14:solidFill>
              <w14:schemeClr w14:val="tx1"/>
            </w14:solidFill>
          </w14:textFill>
        </w:rPr>
        <w:t>在县域节水型社会评比中仍存在较大短板，</w:t>
      </w:r>
      <w:r>
        <w:rPr>
          <w:rFonts w:hint="eastAsia" w:ascii="仿宋" w:hAnsi="仿宋" w:eastAsia="仿宋" w:cs="仿宋"/>
          <w:color w:val="000000" w:themeColor="text1"/>
          <w:sz w:val="30"/>
          <w:szCs w:val="30"/>
          <w14:textFill>
            <w14:solidFill>
              <w14:schemeClr w14:val="tx1"/>
            </w14:solidFill>
          </w14:textFill>
        </w:rPr>
        <w:t>全</w:t>
      </w:r>
      <w:r>
        <w:rPr>
          <w:rFonts w:hint="eastAsia" w:ascii="仿宋" w:hAnsi="仿宋" w:eastAsia="仿宋" w:cs="仿宋"/>
          <w:color w:val="000000" w:themeColor="text1"/>
          <w:sz w:val="30"/>
          <w:szCs w:val="30"/>
          <w:lang w:val="en-US" w:eastAsia="zh-CN"/>
          <w14:textFill>
            <w14:solidFill>
              <w14:schemeClr w14:val="tx1"/>
            </w14:solidFill>
          </w14:textFill>
        </w:rPr>
        <w:t>县</w:t>
      </w:r>
      <w:r>
        <w:rPr>
          <w:rFonts w:hint="eastAsia" w:ascii="仿宋" w:hAnsi="仿宋" w:eastAsia="仿宋" w:cs="仿宋"/>
          <w:color w:val="000000" w:themeColor="text1"/>
          <w:sz w:val="30"/>
          <w:szCs w:val="30"/>
          <w14:textFill>
            <w14:solidFill>
              <w14:schemeClr w14:val="tx1"/>
            </w14:solidFill>
          </w14:textFill>
        </w:rPr>
        <w:t>节水意识</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万元GDP用水量、万元工业增加值用水量与先进地区水平仍有较大差距；农田灌溉用水量大，</w:t>
      </w:r>
      <w:r>
        <w:rPr>
          <w:rFonts w:hint="eastAsia" w:ascii="仿宋" w:hAnsi="仿宋" w:eastAsia="仿宋" w:cs="仿宋"/>
          <w:b w:val="0"/>
          <w:bCs w:val="0"/>
          <w:color w:val="000000" w:themeColor="text1"/>
          <w:sz w:val="30"/>
          <w:szCs w:val="30"/>
          <w14:textFill>
            <w14:solidFill>
              <w14:schemeClr w14:val="tx1"/>
            </w14:solidFill>
          </w14:textFill>
        </w:rPr>
        <w:t>农</w:t>
      </w:r>
      <w:r>
        <w:rPr>
          <w:rFonts w:hint="eastAsia" w:ascii="仿宋" w:hAnsi="仿宋" w:eastAsia="仿宋" w:cs="仿宋"/>
          <w:b w:val="0"/>
          <w:bCs w:val="0"/>
          <w:color w:val="000000" w:themeColor="text1"/>
          <w:sz w:val="30"/>
          <w:szCs w:val="30"/>
          <w:highlight w:val="none"/>
          <w14:textFill>
            <w14:solidFill>
              <w14:schemeClr w14:val="tx1"/>
            </w14:solidFill>
          </w14:textFill>
        </w:rPr>
        <w:t>田灌溉水利用系数未达到全省平均水平</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节水型社会建设需要进一步推进。</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河湖水生态需不断提升质量</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lang w:val="en-US" w:eastAsia="zh-CN"/>
          <w14:textFill>
            <w14:solidFill>
              <w14:schemeClr w14:val="tx1"/>
            </w14:solidFill>
          </w14:textFill>
        </w:rPr>
        <w:t>境内</w:t>
      </w:r>
      <w:r>
        <w:rPr>
          <w:rFonts w:hint="eastAsia" w:ascii="仿宋" w:hAnsi="仿宋" w:eastAsia="仿宋" w:cs="仿宋"/>
          <w:color w:val="000000" w:themeColor="text1"/>
          <w:sz w:val="30"/>
          <w:szCs w:val="30"/>
          <w14:textFill>
            <w14:solidFill>
              <w14:schemeClr w14:val="tx1"/>
            </w14:solidFill>
          </w14:textFill>
        </w:rPr>
        <w:t>河流众多，水生态环境位居全省前列，但是距离“安全流畅、生态健康、水清景美、人文彰显、管护高效、人水和谐”全域美丽河湖建设目标有一定的差距，部分山区性河流枯水期河道干涸现象还较普遍，部分河道护岸硬化严重，在河流治理过程中，存在一定的过度治理、单目标、片段化现象，流域治理措施系统性不突出、生态性措施应用不够。随着社会的发展，现有的河湖水生态环境与人民对美好生活的向往将越来越存在差距。</w:t>
      </w:r>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1.3.</w:t>
      </w:r>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文化景观需不断提升品质</w:t>
      </w:r>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水文化遗产保护与利用有待深化</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文化底蕴深厚，水文化遗产丰富，但在水文化遗产保护利用、特色水利文化构建和水文化品牌打造等方面深入不够，</w:t>
      </w:r>
      <w:bookmarkStart w:id="25" w:name="_Hlk44330902"/>
      <w:r>
        <w:rPr>
          <w:rFonts w:hint="eastAsia" w:ascii="仿宋" w:hAnsi="仿宋" w:eastAsia="仿宋" w:cs="仿宋"/>
          <w:color w:val="000000" w:themeColor="text1"/>
          <w:sz w:val="30"/>
          <w:szCs w:val="30"/>
          <w14:textFill>
            <w14:solidFill>
              <w14:schemeClr w14:val="tx1"/>
            </w14:solidFill>
          </w14:textFill>
        </w:rPr>
        <w:t>公益性水文化力量尚未形成气候</w:t>
      </w:r>
      <w:bookmarkEnd w:id="25"/>
      <w:r>
        <w:rPr>
          <w:rFonts w:hint="eastAsia" w:ascii="仿宋" w:hAnsi="仿宋" w:eastAsia="仿宋" w:cs="仿宋"/>
          <w:color w:val="000000" w:themeColor="text1"/>
          <w:sz w:val="30"/>
          <w:szCs w:val="30"/>
          <w14:textFill>
            <w14:solidFill>
              <w14:schemeClr w14:val="tx1"/>
            </w14:solidFill>
          </w14:textFill>
        </w:rPr>
        <w:t>。</w:t>
      </w:r>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水文化融合需要加强</w:t>
      </w:r>
      <w:r>
        <w:rPr>
          <w:rFonts w:hint="eastAsia" w:ascii="仿宋" w:hAnsi="仿宋" w:eastAsia="仿宋" w:cs="仿宋"/>
          <w:color w:val="000000" w:themeColor="text1"/>
          <w:sz w:val="30"/>
          <w:szCs w:val="30"/>
          <w14:textFill>
            <w14:solidFill>
              <w14:schemeClr w14:val="tx1"/>
            </w14:solidFill>
          </w14:textFill>
        </w:rPr>
        <w:t>。结合</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深厚的历史水文化资源，秉持人与自然和谐共生理念，培育亲水、爱水、护水的现代水文化，是实现区域水生态环境长效保护的根本要求，区域水文化产业与其他产业的融合力度不足，“两山”转化、水文化与水旅游结合刚刚起步。</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1.3.5 管理改革需要稳步提升</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江河湖泊监管手段能力不足，监管还存在盲区。</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水资源监管需要持续深化最严格的水资源管理；</w:t>
      </w:r>
      <w:r>
        <w:rPr>
          <w:rFonts w:hint="eastAsia" w:ascii="仿宋" w:hAnsi="仿宋" w:eastAsia="仿宋" w:cs="仿宋"/>
          <w:b w:val="0"/>
          <w:bCs w:val="0"/>
          <w:color w:val="000000" w:themeColor="text1"/>
          <w:sz w:val="30"/>
          <w:szCs w:val="30"/>
          <w:highlight w:val="none"/>
          <w14:textFill>
            <w14:solidFill>
              <w14:schemeClr w14:val="tx1"/>
            </w14:solidFill>
          </w14:textFill>
        </w:rPr>
        <w:t>万元GDP用水量仍然处于全省中下水平</w:t>
      </w:r>
      <w:r>
        <w:rPr>
          <w:rFonts w:hint="eastAsia" w:ascii="仿宋" w:hAnsi="仿宋" w:eastAsia="仿宋" w:cs="仿宋"/>
          <w:color w:val="000000" w:themeColor="text1"/>
          <w:sz w:val="30"/>
          <w:szCs w:val="30"/>
          <w14:textFill>
            <w14:solidFill>
              <w14:schemeClr w14:val="tx1"/>
            </w14:solidFill>
          </w14:textFill>
        </w:rPr>
        <w:t>，需要进一步增强节水型社会创建力度。</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水利工程监管需要继续加强建设管理和工程管理。建设全过程监管需要强化招投标领域，对投标企业信用体系、单位与个人证书、安全生产许可证、廉政情况、工程质量等情况管理；工程管理需要持续深入，第一轮水利工程标准化管理没有覆盖面广量多的小型水利工程，已经通过标准化管理验收的</w:t>
      </w:r>
      <w:r>
        <w:rPr>
          <w:rFonts w:hint="eastAsia" w:ascii="仿宋" w:hAnsi="仿宋" w:eastAsia="仿宋" w:cs="仿宋"/>
          <w:color w:val="000000" w:themeColor="text1"/>
          <w:sz w:val="30"/>
          <w:szCs w:val="30"/>
          <w:lang w:val="en-US" w:eastAsia="zh-CN"/>
          <w14:textFill>
            <w14:solidFill>
              <w14:schemeClr w14:val="tx1"/>
            </w14:solidFill>
          </w14:textFill>
        </w:rPr>
        <w:t>一些</w:t>
      </w:r>
      <w:r>
        <w:rPr>
          <w:rFonts w:hint="eastAsia" w:ascii="仿宋" w:hAnsi="仿宋" w:eastAsia="仿宋" w:cs="仿宋"/>
          <w:color w:val="000000" w:themeColor="text1"/>
          <w:sz w:val="30"/>
          <w:szCs w:val="30"/>
          <w14:textFill>
            <w14:solidFill>
              <w14:schemeClr w14:val="tx1"/>
            </w14:solidFill>
          </w14:textFill>
        </w:rPr>
        <w:t>水利工程还未完全实现“物业化、产权化、数字化”，部分水利工程管理边界仍然不清晰、职责不够落实。水利工程点多面广，建设标准不高、大多是乡镇或村管理、管理经费缺乏、管理水平低，是水利工程管理的难点，市场化、物业化管理尚未全面推行。</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水土保持监管需要继续加强，水土流失监管手段不足，水土保持责任目标考核与奖惩制度需要持续完善。</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行政事务监管需要进一步完善管理规章制度，理顺管理体制机制。</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水利职工服务能力与服务效率需要不断提升，全</w:t>
      </w:r>
      <w:r>
        <w:rPr>
          <w:rFonts w:hint="eastAsia" w:ascii="仿宋" w:hAnsi="仿宋" w:eastAsia="仿宋" w:cs="仿宋"/>
          <w:color w:val="000000" w:themeColor="text1"/>
          <w:sz w:val="30"/>
          <w:szCs w:val="30"/>
          <w:lang w:val="en-US" w:eastAsia="zh-CN"/>
          <w14:textFill>
            <w14:solidFill>
              <w14:schemeClr w14:val="tx1"/>
            </w14:solidFill>
          </w14:textFill>
        </w:rPr>
        <w:t>县</w:t>
      </w:r>
      <w:r>
        <w:rPr>
          <w:rFonts w:hint="eastAsia" w:ascii="仿宋" w:hAnsi="仿宋" w:eastAsia="仿宋" w:cs="仿宋"/>
          <w:color w:val="000000" w:themeColor="text1"/>
          <w:sz w:val="30"/>
          <w:szCs w:val="30"/>
          <w14:textFill>
            <w14:solidFill>
              <w14:schemeClr w14:val="tx1"/>
            </w14:solidFill>
          </w14:textFill>
        </w:rPr>
        <w:t>水利职工本科学历和高级职称比例</w:t>
      </w:r>
      <w:r>
        <w:rPr>
          <w:rFonts w:hint="eastAsia" w:ascii="仿宋" w:hAnsi="仿宋" w:eastAsia="仿宋" w:cs="仿宋"/>
          <w:color w:val="000000" w:themeColor="text1"/>
          <w:sz w:val="30"/>
          <w:szCs w:val="30"/>
          <w:lang w:val="en-US" w:eastAsia="zh-CN"/>
          <w14:textFill>
            <w14:solidFill>
              <w14:schemeClr w14:val="tx1"/>
            </w14:solidFill>
          </w14:textFill>
        </w:rPr>
        <w:t>还不够高</w:t>
      </w:r>
      <w:r>
        <w:rPr>
          <w:rFonts w:hint="eastAsia" w:ascii="仿宋" w:hAnsi="仿宋" w:eastAsia="仿宋" w:cs="仿宋"/>
          <w:color w:val="000000" w:themeColor="text1"/>
          <w:sz w:val="30"/>
          <w:szCs w:val="30"/>
          <w14:textFill>
            <w14:solidFill>
              <w14:schemeClr w14:val="tx1"/>
            </w14:solidFill>
          </w14:textFill>
        </w:rPr>
        <w:t>，面对高质量发展要求能力不够高、效率不够高、服务方式不够新。</w:t>
      </w:r>
    </w:p>
    <w:p>
      <w:pPr>
        <w:ind w:firstLine="6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智慧水利需要持续加强，信息化平台多、部分平台手段单一协同不够、部分平台一次性使用后出现闲置，与先进的智慧公安、智慧交通、智慧城管等有较大差距。</w:t>
      </w:r>
      <w:bookmarkEnd w:id="23"/>
    </w:p>
    <w:p>
      <w:pPr>
        <w:pStyle w:val="5"/>
        <w:ind w:firstLine="60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1.3.6 </w:t>
      </w:r>
      <w:r>
        <w:rPr>
          <w:rFonts w:hint="eastAsia"/>
          <w:color w:val="000000" w:themeColor="text1"/>
          <w14:textFill>
            <w14:solidFill>
              <w14:schemeClr w14:val="tx1"/>
            </w14:solidFill>
          </w14:textFill>
        </w:rPr>
        <w:t>“水利经济”需要逐步加快兴起</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长期以来，受限于水资源系统的复杂性差异性，加之人类对水资源价值认识的局限性、零散性，水资源价值难以量化和具体化。目前，水经济与水利产业化逐渐兴起。水利产业化还不成熟，运营和盈利模式均存在着诸多风险和制约。生态优势作为</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的优势之一，丰沛的水资源、优良的水生态，是水利可以转化成生态经济最重要的生产要素。</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现代农业、水旅融合正蓬勃发展，“河权到户”</w:t>
      </w:r>
      <w:r>
        <w:rPr>
          <w:rFonts w:hint="eastAsia" w:ascii="仿宋" w:hAnsi="仿宋" w:eastAsia="仿宋" w:cs="仿宋"/>
          <w:color w:val="000000" w:themeColor="text1"/>
          <w:sz w:val="30"/>
          <w:szCs w:val="30"/>
          <w:lang w:val="en-US" w:eastAsia="zh-CN"/>
          <w14:textFill>
            <w14:solidFill>
              <w14:schemeClr w14:val="tx1"/>
            </w14:solidFill>
          </w14:textFill>
        </w:rPr>
        <w:t>措施</w:t>
      </w:r>
      <w:r>
        <w:rPr>
          <w:rFonts w:hint="eastAsia" w:ascii="仿宋" w:hAnsi="仿宋" w:eastAsia="仿宋" w:cs="仿宋"/>
          <w:color w:val="000000" w:themeColor="text1"/>
          <w:sz w:val="30"/>
          <w:szCs w:val="30"/>
          <w14:textFill>
            <w14:solidFill>
              <w14:schemeClr w14:val="tx1"/>
            </w14:solidFill>
          </w14:textFill>
        </w:rPr>
        <w:t>等的实施，为初步实现水生态价值转化奠定了基础。</w:t>
      </w:r>
    </w:p>
    <w:p>
      <w:pPr>
        <w:ind w:firstLine="480"/>
        <w:rPr>
          <w:rFonts w:ascii="仿宋" w:hAnsi="仿宋" w:eastAsia="仿宋" w:cs="仿宋"/>
          <w:color w:val="000000" w:themeColor="text1"/>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pgNumType w:start="1"/>
          <w:cols w:space="720" w:num="1"/>
          <w:docGrid w:linePitch="381" w:charSpace="0"/>
        </w:sectPr>
      </w:pPr>
    </w:p>
    <w:p>
      <w:pPr>
        <w:pStyle w:val="3"/>
        <w:spacing w:before="120" w:after="120"/>
        <w:rPr>
          <w:rFonts w:ascii="仿宋" w:hAnsi="仿宋" w:eastAsia="仿宋" w:cs="仿宋"/>
          <w:color w:val="000000" w:themeColor="text1"/>
          <w14:textFill>
            <w14:solidFill>
              <w14:schemeClr w14:val="tx1"/>
            </w14:solidFill>
          </w14:textFill>
        </w:rPr>
      </w:pPr>
      <w:bookmarkStart w:id="26" w:name="_Toc32412"/>
      <w:bookmarkStart w:id="27" w:name="_Toc32485"/>
      <w:r>
        <w:rPr>
          <w:rFonts w:hint="eastAsia" w:ascii="仿宋" w:hAnsi="仿宋" w:eastAsia="仿宋" w:cs="仿宋"/>
          <w:color w:val="000000" w:themeColor="text1"/>
          <w14:textFill>
            <w14:solidFill>
              <w14:schemeClr w14:val="tx1"/>
            </w14:solidFill>
          </w14:textFill>
        </w:rPr>
        <w:t>二、总体要求</w:t>
      </w:r>
      <w:bookmarkEnd w:id="26"/>
      <w:bookmarkEnd w:id="27"/>
    </w:p>
    <w:p>
      <w:pPr>
        <w:pStyle w:val="4"/>
        <w:ind w:firstLine="602"/>
        <w:rPr>
          <w:rFonts w:ascii="仿宋" w:hAnsi="仿宋" w:cs="仿宋"/>
          <w:color w:val="000000" w:themeColor="text1"/>
          <w:szCs w:val="30"/>
          <w14:textFill>
            <w14:solidFill>
              <w14:schemeClr w14:val="tx1"/>
            </w14:solidFill>
          </w14:textFill>
        </w:rPr>
      </w:pPr>
      <w:bookmarkStart w:id="28" w:name="_Toc31116"/>
      <w:bookmarkStart w:id="29" w:name="_Toc4824"/>
      <w:bookmarkStart w:id="30" w:name="_Toc20407"/>
      <w:r>
        <w:rPr>
          <w:rFonts w:hint="eastAsia" w:ascii="仿宋" w:hAnsi="仿宋" w:cs="仿宋"/>
          <w:color w:val="000000" w:themeColor="text1"/>
          <w:szCs w:val="30"/>
          <w:lang w:val="en-US" w:eastAsia="zh-CN"/>
          <w14:textFill>
            <w14:solidFill>
              <w14:schemeClr w14:val="tx1"/>
            </w14:solidFill>
          </w14:textFill>
        </w:rPr>
        <w:t xml:space="preserve">2.1 </w:t>
      </w:r>
      <w:r>
        <w:rPr>
          <w:rFonts w:hint="eastAsia" w:ascii="仿宋" w:hAnsi="仿宋" w:cs="仿宋"/>
          <w:color w:val="000000" w:themeColor="text1"/>
          <w:szCs w:val="30"/>
          <w14:textFill>
            <w14:solidFill>
              <w14:schemeClr w14:val="tx1"/>
            </w14:solidFill>
          </w14:textFill>
        </w:rPr>
        <w:t>指导思想</w:t>
      </w:r>
      <w:bookmarkEnd w:id="28"/>
      <w:bookmarkEnd w:id="29"/>
    </w:p>
    <w:p>
      <w:pPr>
        <w:pStyle w:val="38"/>
        <w:ind w:firstLine="600"/>
        <w:rPr>
          <w:rFonts w:ascii="仿宋" w:hAnsi="仿宋" w:eastAsia="仿宋" w:cs="仿宋"/>
          <w:color w:val="000000" w:themeColor="text1"/>
          <w:sz w:val="30"/>
          <w:szCs w:val="30"/>
          <w14:textFill>
            <w14:solidFill>
              <w14:schemeClr w14:val="tx1"/>
            </w14:solidFill>
          </w14:textFill>
        </w:rPr>
      </w:pPr>
      <w:bookmarkStart w:id="31" w:name="_Hlk50637156"/>
      <w:r>
        <w:rPr>
          <w:rFonts w:hint="eastAsia" w:ascii="仿宋" w:hAnsi="仿宋" w:eastAsia="仿宋" w:cs="仿宋"/>
          <w:color w:val="000000" w:themeColor="text1"/>
          <w:sz w:val="30"/>
          <w:szCs w:val="30"/>
          <w14:textFill>
            <w14:solidFill>
              <w14:schemeClr w14:val="tx1"/>
            </w14:solidFill>
          </w14:textFill>
        </w:rPr>
        <w:t>以习近平新时代中国特色社会主义思想为指导，深入贯彻党的十九大以来系列会议精神，牢固树立“两山”发展理论，积极践行新时代“十六字”水利工作方针，坚持“补短板、强监管、走前列，推进水利高质量发展”治水总要求，围绕省委省政府“六个浙江、四大建设”，丽水市委市政府“高质量绿色发展、瓯江大花园建设”、</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云和县</w:t>
      </w:r>
      <w:r>
        <w:rPr>
          <w:rFonts w:hint="eastAsia" w:ascii="仿宋" w:hAnsi="仿宋" w:eastAsia="仿宋" w:cs="仿宋"/>
          <w:b w:val="0"/>
          <w:bCs w:val="0"/>
          <w:color w:val="000000" w:themeColor="text1"/>
          <w:sz w:val="30"/>
          <w:szCs w:val="30"/>
          <w:highlight w:val="none"/>
          <w14:textFill>
            <w14:solidFill>
              <w14:schemeClr w14:val="tx1"/>
            </w14:solidFill>
          </w14:textFill>
        </w:rPr>
        <w:t>委</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县</w:t>
      </w:r>
      <w:r>
        <w:rPr>
          <w:rFonts w:hint="eastAsia" w:ascii="仿宋" w:hAnsi="仿宋" w:eastAsia="仿宋" w:cs="仿宋"/>
          <w:b w:val="0"/>
          <w:bCs w:val="0"/>
          <w:color w:val="000000" w:themeColor="text1"/>
          <w:sz w:val="30"/>
          <w:szCs w:val="30"/>
          <w:highlight w:val="none"/>
          <w14:textFill>
            <w14:solidFill>
              <w14:schemeClr w14:val="tx1"/>
            </w14:solidFill>
          </w14:textFill>
        </w:rPr>
        <w:t>政府</w:t>
      </w:r>
      <w:bookmarkStart w:id="32" w:name="_Hlk44255824"/>
      <w:r>
        <w:rPr>
          <w:rFonts w:hint="eastAsia" w:ascii="仿宋" w:hAnsi="仿宋" w:eastAsia="仿宋" w:cs="仿宋"/>
          <w:b w:val="0"/>
          <w:bCs w:val="0"/>
          <w:color w:val="000000" w:themeColor="text1"/>
          <w:sz w:val="30"/>
          <w:szCs w:val="30"/>
          <w:highlight w:val="none"/>
          <w14:textFill>
            <w14:solidFill>
              <w14:schemeClr w14:val="tx1"/>
            </w14:solidFill>
          </w14:textFill>
        </w:rPr>
        <w:t>“</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小县大城</w:t>
      </w:r>
      <w:r>
        <w:rPr>
          <w:rFonts w:hint="eastAsia" w:ascii="仿宋" w:hAnsi="仿宋" w:eastAsia="仿宋" w:cs="仿宋"/>
          <w:b w:val="0"/>
          <w:bCs w:val="0"/>
          <w:color w:val="000000" w:themeColor="text1"/>
          <w:sz w:val="30"/>
          <w:szCs w:val="30"/>
          <w:highlight w:val="none"/>
          <w14:textFill>
            <w14:solidFill>
              <w14:schemeClr w14:val="tx1"/>
            </w14:solidFill>
          </w14:textFill>
        </w:rPr>
        <w:t>”</w:t>
      </w:r>
      <w:bookmarkEnd w:id="32"/>
      <w:r>
        <w:rPr>
          <w:rFonts w:hint="eastAsia" w:ascii="仿宋" w:hAnsi="仿宋" w:eastAsia="仿宋" w:cs="仿宋"/>
          <w:b w:val="0"/>
          <w:bCs w:val="0"/>
          <w:color w:val="000000" w:themeColor="text1"/>
          <w:sz w:val="30"/>
          <w:szCs w:val="30"/>
          <w:highlight w:val="none"/>
          <w14:textFill>
            <w14:solidFill>
              <w14:schemeClr w14:val="tx1"/>
            </w14:solidFill>
          </w14:textFill>
        </w:rPr>
        <w:t>战略部署，</w:t>
      </w:r>
      <w:r>
        <w:rPr>
          <w:rFonts w:hint="eastAsia" w:ascii="仿宋" w:hAnsi="仿宋" w:eastAsia="仿宋" w:cs="仿宋"/>
          <w:color w:val="000000" w:themeColor="text1"/>
          <w:sz w:val="30"/>
          <w:szCs w:val="30"/>
          <w14:textFill>
            <w14:solidFill>
              <w14:schemeClr w14:val="tx1"/>
            </w14:solidFill>
          </w14:textFill>
        </w:rPr>
        <w:t>把水安全风险防控作为底线，把水资源承载力作为刚性约束上限，把水生态保护作为控制红线，加快水利基础设施网络建设，创新水生态价值转换，加强水利数字化管理，激发水利发展动力，提升水治理体系和治理能力现代化建设水平，为</w:t>
      </w:r>
      <w:bookmarkStart w:id="33" w:name="_Hlk43132484"/>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高质量绿色发展</w:t>
      </w:r>
      <w:bookmarkEnd w:id="33"/>
      <w:r>
        <w:rPr>
          <w:rFonts w:hint="eastAsia" w:ascii="仿宋" w:hAnsi="仿宋" w:eastAsia="仿宋" w:cs="仿宋"/>
          <w:color w:val="000000" w:themeColor="text1"/>
          <w:sz w:val="30"/>
          <w:szCs w:val="30"/>
          <w14:textFill>
            <w14:solidFill>
              <w14:schemeClr w14:val="tx1"/>
            </w14:solidFill>
          </w14:textFill>
        </w:rPr>
        <w:t>奠定更加可靠的水安全保障。</w:t>
      </w:r>
      <w:bookmarkEnd w:id="31"/>
    </w:p>
    <w:p>
      <w:pPr>
        <w:pStyle w:val="4"/>
        <w:ind w:firstLine="602"/>
        <w:rPr>
          <w:rFonts w:hint="eastAsia" w:ascii="仿宋" w:hAnsi="仿宋" w:cs="仿宋"/>
          <w:color w:val="000000" w:themeColor="text1"/>
          <w:szCs w:val="30"/>
          <w14:textFill>
            <w14:solidFill>
              <w14:schemeClr w14:val="tx1"/>
            </w14:solidFill>
          </w14:textFill>
        </w:rPr>
      </w:pPr>
      <w:bookmarkStart w:id="34" w:name="_Toc30325"/>
      <w:r>
        <w:rPr>
          <w:rFonts w:hint="eastAsia" w:ascii="仿宋" w:hAnsi="仿宋" w:cs="仿宋"/>
          <w:color w:val="000000" w:themeColor="text1"/>
          <w:szCs w:val="30"/>
          <w:lang w:val="en-US" w:eastAsia="zh-CN"/>
          <w14:textFill>
            <w14:solidFill>
              <w14:schemeClr w14:val="tx1"/>
            </w14:solidFill>
          </w14:textFill>
        </w:rPr>
        <w:t xml:space="preserve">2.2 </w:t>
      </w:r>
      <w:r>
        <w:rPr>
          <w:rFonts w:hint="eastAsia" w:ascii="仿宋" w:hAnsi="仿宋" w:cs="仿宋"/>
          <w:color w:val="000000" w:themeColor="text1"/>
          <w:szCs w:val="30"/>
          <w14:textFill>
            <w14:solidFill>
              <w14:schemeClr w14:val="tx1"/>
            </w14:solidFill>
          </w14:textFill>
        </w:rPr>
        <w:t>基本原则</w:t>
      </w:r>
      <w:bookmarkEnd w:id="30"/>
      <w:bookmarkEnd w:id="34"/>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以人为本、共建共享。</w:t>
      </w:r>
      <w:r>
        <w:rPr>
          <w:rFonts w:hint="eastAsia" w:ascii="仿宋" w:hAnsi="仿宋" w:eastAsia="仿宋" w:cs="仿宋"/>
          <w:color w:val="000000" w:themeColor="text1"/>
          <w:sz w:val="30"/>
          <w:szCs w:val="30"/>
          <w14:textFill>
            <w14:solidFill>
              <w14:schemeClr w14:val="tx1"/>
            </w14:solidFill>
          </w14:textFill>
        </w:rPr>
        <w:t>坚持以人民为中心，民生为上，治水为要，聚焦事关人民群众生活生产条件改善的迫切愿望，不断满足人民群众对水安全保障、优质水资源、健康水生态、宜居水环境等更高需求。综合考虑水利工程能力的充分发挥，与水环境改善、文化旅游、涉水产业等紧密结合，共建共享、共治共赢。</w:t>
      </w:r>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空间均衡、协调发展。</w:t>
      </w:r>
      <w:r>
        <w:rPr>
          <w:rFonts w:hint="eastAsia" w:ascii="仿宋" w:hAnsi="仿宋" w:eastAsia="仿宋" w:cs="仿宋"/>
          <w:color w:val="000000" w:themeColor="text1"/>
          <w:sz w:val="30"/>
          <w:szCs w:val="30"/>
          <w14:textFill>
            <w14:solidFill>
              <w14:schemeClr w14:val="tx1"/>
            </w14:solidFill>
          </w14:textFill>
        </w:rPr>
        <w:t>把水资源作为先导性、控制性和约束性要素，约束和规范各类水事行为，坚持以水定需、以水定城、以水定地、以水定人、以水定产，合理规划人口、城镇和产业发展。协调国土空间规划布局，促进人口经济与水资源水生态水环境承载能力相均衡。</w:t>
      </w:r>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重在保护、要在治理。</w:t>
      </w:r>
      <w:r>
        <w:rPr>
          <w:rFonts w:hint="eastAsia" w:ascii="仿宋" w:hAnsi="仿宋" w:eastAsia="仿宋" w:cs="仿宋"/>
          <w:color w:val="000000" w:themeColor="text1"/>
          <w:sz w:val="30"/>
          <w:szCs w:val="30"/>
          <w14:textFill>
            <w14:solidFill>
              <w14:schemeClr w14:val="tx1"/>
            </w14:solidFill>
          </w14:textFill>
        </w:rPr>
        <w:t>坚持生态优先、绿色发展，坚持山水林田湖草综合治理、系统治理、源头治理，上下游、干支流、左右岸统筹谋划。加强协同配合，注重保护和治理的系统性、整体性、协同性，共同抓好大保护，协同推进大治理。</w:t>
      </w:r>
    </w:p>
    <w:p>
      <w:pPr>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改革创新、两手发力。</w:t>
      </w:r>
      <w:r>
        <w:rPr>
          <w:rFonts w:hint="eastAsia" w:ascii="仿宋" w:hAnsi="仿宋" w:eastAsia="仿宋" w:cs="仿宋"/>
          <w:color w:val="000000" w:themeColor="text1"/>
          <w:sz w:val="30"/>
          <w:szCs w:val="30"/>
          <w14:textFill>
            <w14:solidFill>
              <w14:schemeClr w14:val="tx1"/>
            </w14:solidFill>
          </w14:textFill>
        </w:rPr>
        <w:t>以“最多跑一次”改革为主抓手，以深化“河（湖）长制”为牵引，以数字化转型为契机，推进水利改革创新；强化江河湖泊、水资源、水利工程、水土保持等水利行业监管。落实两手发力，发挥好</w:t>
      </w:r>
      <w:r>
        <w:rPr>
          <w:rFonts w:hint="eastAsia" w:ascii="仿宋" w:hAnsi="仿宋" w:eastAsia="仿宋" w:cs="仿宋"/>
          <w:color w:val="000000" w:themeColor="text1"/>
          <w:sz w:val="30"/>
          <w:szCs w:val="30"/>
          <w:highlight w:val="none"/>
          <w14:textFill>
            <w14:solidFill>
              <w14:schemeClr w14:val="tx1"/>
            </w14:solidFill>
          </w14:textFill>
        </w:rPr>
        <w:t>政</w:t>
      </w:r>
      <w:r>
        <w:rPr>
          <w:rFonts w:hint="eastAsia" w:ascii="仿宋" w:hAnsi="仿宋" w:eastAsia="仿宋" w:cs="仿宋"/>
          <w:color w:val="000000" w:themeColor="text1"/>
          <w:sz w:val="30"/>
          <w:szCs w:val="30"/>
          <w14:textFill>
            <w14:solidFill>
              <w14:schemeClr w14:val="tx1"/>
            </w14:solidFill>
          </w14:textFill>
        </w:rPr>
        <w:t>府与市场在解决水问题上的协同作用。</w:t>
      </w:r>
    </w:p>
    <w:p>
      <w:pPr>
        <w:pStyle w:val="4"/>
        <w:ind w:firstLine="602"/>
        <w:rPr>
          <w:rFonts w:hint="eastAsia" w:ascii="仿宋" w:hAnsi="仿宋" w:cs="仿宋"/>
          <w:color w:val="000000" w:themeColor="text1"/>
          <w:szCs w:val="30"/>
          <w:lang w:val="en-US" w:eastAsia="zh-CN"/>
          <w14:textFill>
            <w14:solidFill>
              <w14:schemeClr w14:val="tx1"/>
            </w14:solidFill>
          </w14:textFill>
        </w:rPr>
      </w:pPr>
      <w:bookmarkStart w:id="35" w:name="_Toc20482"/>
      <w:r>
        <w:rPr>
          <w:rFonts w:hint="eastAsia" w:ascii="仿宋" w:hAnsi="仿宋" w:cs="仿宋"/>
          <w:color w:val="000000" w:themeColor="text1"/>
          <w:szCs w:val="30"/>
          <w:lang w:val="en-US" w:eastAsia="zh-CN"/>
          <w14:textFill>
            <w14:solidFill>
              <w14:schemeClr w14:val="tx1"/>
            </w14:solidFill>
          </w14:textFill>
        </w:rPr>
        <w:t>2.3总体格局</w:t>
      </w:r>
      <w:bookmarkEnd w:id="35"/>
    </w:p>
    <w:p>
      <w:pPr>
        <w:ind w:firstLine="600"/>
        <w:rPr>
          <w:rFonts w:hint="default"/>
          <w:lang w:val="en-US" w:eastAsia="zh-CN"/>
        </w:rPr>
      </w:pPr>
      <w:r>
        <w:rPr>
          <w:rFonts w:eastAsia="仿宋"/>
          <w:color w:val="000000" w:themeColor="text1"/>
          <w:sz w:val="30"/>
          <w:szCs w:val="30"/>
          <w14:textFill>
            <w14:solidFill>
              <w14:schemeClr w14:val="tx1"/>
            </w14:solidFill>
          </w14:textFill>
        </w:rPr>
        <w:t>系统梳理重构县域主要河流，</w:t>
      </w:r>
      <w:r>
        <w:rPr>
          <w:rFonts w:hint="eastAsia" w:eastAsia="仿宋"/>
          <w:color w:val="000000" w:themeColor="text1"/>
          <w:sz w:val="30"/>
          <w:szCs w:val="30"/>
          <w14:textFill>
            <w14:solidFill>
              <w14:schemeClr w14:val="tx1"/>
            </w14:solidFill>
          </w14:textFill>
        </w:rPr>
        <w:t>以龙泉溪</w:t>
      </w:r>
      <w:r>
        <w:rPr>
          <w:rFonts w:hint="eastAsia" w:eastAsia="仿宋"/>
          <w:color w:val="000000" w:themeColor="text1"/>
          <w:sz w:val="30"/>
          <w:szCs w:val="30"/>
          <w:lang w:val="en-US" w:eastAsia="zh-CN"/>
          <w14:textFill>
            <w14:solidFill>
              <w14:schemeClr w14:val="tx1"/>
            </w14:solidFill>
          </w14:textFill>
        </w:rPr>
        <w:t>和浮云溪</w:t>
      </w:r>
      <w:r>
        <w:rPr>
          <w:rFonts w:hint="eastAsia" w:eastAsia="仿宋"/>
          <w:color w:val="000000" w:themeColor="text1"/>
          <w:sz w:val="30"/>
          <w:szCs w:val="30"/>
          <w14:textFill>
            <w14:solidFill>
              <w14:schemeClr w14:val="tx1"/>
            </w14:solidFill>
          </w14:textFill>
        </w:rPr>
        <w:t>干流为重点，兼顾</w:t>
      </w:r>
      <w:r>
        <w:rPr>
          <w:rFonts w:hint="eastAsia" w:ascii="仿宋" w:hAnsi="仿宋" w:eastAsia="仿宋" w:cs="仿宋"/>
          <w:color w:val="000000" w:themeColor="text1"/>
          <w:sz w:val="30"/>
          <w:szCs w:val="30"/>
          <w:lang w:val="en-US" w:eastAsia="zh-CN"/>
          <w14:textFill>
            <w14:solidFill>
              <w14:schemeClr w14:val="tx1"/>
            </w14:solidFill>
          </w14:textFill>
        </w:rPr>
        <w:t>安溪、黄溪、泉溪、雾溪、梅垄溪、沙溪、云坛溪、桥头坑、石门坑、石塘坑及梧桐坑治理工程</w:t>
      </w:r>
      <w:r>
        <w:rPr>
          <w:rFonts w:hint="eastAsia" w:eastAsia="仿宋"/>
          <w:color w:val="000000" w:themeColor="text1"/>
          <w:sz w:val="30"/>
          <w:szCs w:val="30"/>
          <w14:textFill>
            <w14:solidFill>
              <w14:schemeClr w14:val="tx1"/>
            </w14:solidFill>
          </w14:textFill>
        </w:rPr>
        <w:t>，在有条件的支流上游修建水库，中下游修建堤防防洪，疏浚、拓宽局部河道，建立城乡安澜</w:t>
      </w:r>
      <w:r>
        <w:rPr>
          <w:rFonts w:eastAsia="仿宋"/>
          <w:b/>
          <w:bCs/>
          <w:color w:val="000000" w:themeColor="text1"/>
          <w:sz w:val="30"/>
          <w:szCs w:val="30"/>
          <w14:textFill>
            <w14:solidFill>
              <w14:schemeClr w14:val="tx1"/>
            </w14:solidFill>
          </w14:textFill>
        </w:rPr>
        <w:t>防洪保安</w:t>
      </w:r>
      <w:r>
        <w:rPr>
          <w:rFonts w:hint="eastAsia" w:eastAsia="仿宋"/>
          <w:b/>
          <w:bCs/>
          <w:color w:val="000000" w:themeColor="text1"/>
          <w:sz w:val="30"/>
          <w:szCs w:val="30"/>
          <w:lang w:val="en-US" w:eastAsia="zh-CN"/>
          <w14:textFill>
            <w14:solidFill>
              <w14:schemeClr w14:val="tx1"/>
            </w14:solidFill>
          </w14:textFill>
        </w:rPr>
        <w:t>体系</w:t>
      </w:r>
      <w:r>
        <w:rPr>
          <w:rFonts w:eastAsia="仿宋"/>
          <w:color w:val="000000" w:themeColor="text1"/>
          <w:sz w:val="30"/>
          <w:szCs w:val="30"/>
          <w14:textFill>
            <w14:solidFill>
              <w14:schemeClr w14:val="tx1"/>
            </w14:solidFill>
          </w14:textFill>
        </w:rPr>
        <w:t>；以</w:t>
      </w:r>
      <w:r>
        <w:rPr>
          <w:rFonts w:hint="eastAsia" w:eastAsia="仿宋"/>
          <w:color w:val="000000" w:themeColor="text1"/>
          <w:sz w:val="30"/>
          <w:szCs w:val="30"/>
          <w:lang w:val="en-US" w:eastAsia="zh-CN"/>
          <w14:textFill>
            <w14:solidFill>
              <w14:schemeClr w14:val="tx1"/>
            </w14:solidFill>
          </w14:textFill>
        </w:rPr>
        <w:t>紧水滩引调水工程为核心</w:t>
      </w:r>
      <w:r>
        <w:rPr>
          <w:rFonts w:eastAsia="仿宋"/>
          <w:color w:val="000000" w:themeColor="text1"/>
          <w:sz w:val="30"/>
          <w:szCs w:val="30"/>
          <w14:textFill>
            <w14:solidFill>
              <w14:schemeClr w14:val="tx1"/>
            </w14:solidFill>
          </w14:textFill>
        </w:rPr>
        <w:t>，</w:t>
      </w:r>
      <w:r>
        <w:rPr>
          <w:rFonts w:hint="eastAsia" w:eastAsia="仿宋"/>
          <w:color w:val="000000" w:themeColor="text1"/>
          <w:sz w:val="30"/>
          <w:szCs w:val="30"/>
          <w14:textFill>
            <w14:solidFill>
              <w14:schemeClr w14:val="tx1"/>
            </w14:solidFill>
          </w14:textFill>
        </w:rPr>
        <w:t>以管网延伸为重点高标准建设规模化农村供水工程，构建完善三级供水格局</w:t>
      </w:r>
      <w:r>
        <w:rPr>
          <w:rFonts w:eastAsia="仿宋"/>
          <w:color w:val="000000" w:themeColor="text1"/>
          <w:sz w:val="30"/>
          <w:szCs w:val="30"/>
          <w14:textFill>
            <w14:solidFill>
              <w14:schemeClr w14:val="tx1"/>
            </w14:solidFill>
          </w14:textFill>
        </w:rPr>
        <w:t>，辅以中水回用和水资源高效集约利用管理手段，建立</w:t>
      </w:r>
      <w:r>
        <w:rPr>
          <w:rFonts w:hint="eastAsia" w:eastAsia="仿宋"/>
          <w:color w:val="000000" w:themeColor="text1"/>
          <w:sz w:val="30"/>
          <w:szCs w:val="30"/>
          <w14:textFill>
            <w14:solidFill>
              <w14:schemeClr w14:val="tx1"/>
            </w14:solidFill>
          </w14:textFill>
        </w:rPr>
        <w:t>优质</w:t>
      </w:r>
      <w:r>
        <w:rPr>
          <w:rFonts w:eastAsia="仿宋"/>
          <w:color w:val="000000" w:themeColor="text1"/>
          <w:sz w:val="30"/>
          <w:szCs w:val="30"/>
          <w14:textFill>
            <w14:solidFill>
              <w14:schemeClr w14:val="tx1"/>
            </w14:solidFill>
          </w14:textFill>
        </w:rPr>
        <w:t>高效的</w:t>
      </w:r>
      <w:r>
        <w:rPr>
          <w:rFonts w:eastAsia="仿宋"/>
          <w:b/>
          <w:bCs/>
          <w:color w:val="000000" w:themeColor="text1"/>
          <w:sz w:val="30"/>
          <w:szCs w:val="30"/>
          <w14:textFill>
            <w14:solidFill>
              <w14:schemeClr w14:val="tx1"/>
            </w14:solidFill>
          </w14:textFill>
        </w:rPr>
        <w:t>水资源</w:t>
      </w:r>
      <w:r>
        <w:rPr>
          <w:rFonts w:hint="eastAsia" w:eastAsia="仿宋"/>
          <w:b/>
          <w:bCs/>
          <w:color w:val="000000" w:themeColor="text1"/>
          <w:sz w:val="30"/>
          <w:szCs w:val="30"/>
          <w:lang w:val="en-US" w:eastAsia="zh-CN"/>
          <w14:textFill>
            <w14:solidFill>
              <w14:schemeClr w14:val="tx1"/>
            </w14:solidFill>
          </w14:textFill>
        </w:rPr>
        <w:t>保障体系</w:t>
      </w:r>
      <w:r>
        <w:rPr>
          <w:rFonts w:eastAsia="仿宋"/>
          <w:color w:val="000000" w:themeColor="text1"/>
          <w:sz w:val="30"/>
          <w:szCs w:val="30"/>
          <w14:textFill>
            <w14:solidFill>
              <w14:schemeClr w14:val="tx1"/>
            </w14:solidFill>
          </w14:textFill>
        </w:rPr>
        <w:t>；</w:t>
      </w:r>
      <w:r>
        <w:rPr>
          <w:rFonts w:hint="eastAsia" w:eastAsia="仿宋"/>
          <w:color w:val="000000" w:themeColor="text1"/>
          <w:sz w:val="30"/>
          <w:szCs w:val="30"/>
          <w14:textFill>
            <w14:solidFill>
              <w14:schemeClr w14:val="tx1"/>
            </w14:solidFill>
          </w14:textFill>
        </w:rPr>
        <w:t>统筹湖库山塘、主要河流，</w:t>
      </w:r>
      <w:r>
        <w:rPr>
          <w:rFonts w:eastAsia="仿宋"/>
          <w:color w:val="000000" w:themeColor="text1"/>
          <w:sz w:val="30"/>
          <w:szCs w:val="30"/>
          <w14:textFill>
            <w14:solidFill>
              <w14:schemeClr w14:val="tx1"/>
            </w14:solidFill>
          </w14:textFill>
        </w:rPr>
        <w:t>将每一条河</w:t>
      </w:r>
      <w:r>
        <w:rPr>
          <w:rFonts w:hint="eastAsia" w:eastAsia="仿宋"/>
          <w:color w:val="000000" w:themeColor="text1"/>
          <w:sz w:val="30"/>
          <w:szCs w:val="30"/>
          <w14:textFill>
            <w14:solidFill>
              <w14:schemeClr w14:val="tx1"/>
            </w14:solidFill>
          </w14:textFill>
        </w:rPr>
        <w:t>湖</w:t>
      </w:r>
      <w:r>
        <w:rPr>
          <w:rFonts w:eastAsia="仿宋"/>
          <w:color w:val="000000" w:themeColor="text1"/>
          <w:sz w:val="30"/>
          <w:szCs w:val="30"/>
          <w14:textFill>
            <w14:solidFill>
              <w14:schemeClr w14:val="tx1"/>
            </w14:solidFill>
          </w14:textFill>
        </w:rPr>
        <w:t>都建成水域健康、生态平衡、水清景美、亲水便捷的幸福河，串联幸福城市和幸福村镇，构建蓝绿交融空间、水陆交互乐水圈，</w:t>
      </w:r>
      <w:r>
        <w:rPr>
          <w:rFonts w:hint="eastAsia" w:eastAsia="仿宋"/>
          <w:color w:val="000000" w:themeColor="text1"/>
          <w:sz w:val="30"/>
          <w:szCs w:val="30"/>
          <w14:textFill>
            <w14:solidFill>
              <w14:schemeClr w14:val="tx1"/>
            </w14:solidFill>
          </w14:textFill>
        </w:rPr>
        <w:t>建立</w:t>
      </w:r>
      <w:r>
        <w:rPr>
          <w:rFonts w:eastAsia="仿宋"/>
          <w:color w:val="000000" w:themeColor="text1"/>
          <w:sz w:val="30"/>
          <w:szCs w:val="30"/>
          <w14:textFill>
            <w14:solidFill>
              <w14:schemeClr w14:val="tx1"/>
            </w14:solidFill>
          </w14:textFill>
        </w:rPr>
        <w:t>亲水惠民的</w:t>
      </w:r>
      <w:r>
        <w:rPr>
          <w:rFonts w:hint="eastAsia" w:eastAsia="仿宋"/>
          <w:b/>
          <w:bCs/>
          <w:color w:val="000000" w:themeColor="text1"/>
          <w:sz w:val="30"/>
          <w:szCs w:val="30"/>
          <w:lang w:val="en-US" w:eastAsia="zh-CN"/>
          <w14:textFill>
            <w14:solidFill>
              <w14:schemeClr w14:val="tx1"/>
            </w14:solidFill>
          </w14:textFill>
        </w:rPr>
        <w:t>水生态环境体系</w:t>
      </w:r>
      <w:r>
        <w:rPr>
          <w:rFonts w:eastAsia="仿宋"/>
          <w:color w:val="000000" w:themeColor="text1"/>
          <w:sz w:val="30"/>
          <w:szCs w:val="30"/>
          <w14:textFill>
            <w14:solidFill>
              <w14:schemeClr w14:val="tx1"/>
            </w14:solidFill>
          </w14:textFill>
        </w:rPr>
        <w:t>；</w:t>
      </w:r>
      <w:r>
        <w:rPr>
          <w:rFonts w:hint="eastAsia" w:eastAsia="仿宋"/>
          <w:color w:val="000000" w:themeColor="text1"/>
          <w:sz w:val="30"/>
          <w:szCs w:val="30"/>
          <w14:textFill>
            <w14:solidFill>
              <w14:schemeClr w14:val="tx1"/>
            </w14:solidFill>
          </w14:textFill>
        </w:rPr>
        <w:t>以“互联网+水利”的智能化新形态支撑水利事业创新发展，逐步构建覆盖全</w:t>
      </w:r>
      <w:r>
        <w:rPr>
          <w:rFonts w:hint="eastAsia" w:eastAsia="仿宋"/>
          <w:color w:val="000000" w:themeColor="text1"/>
          <w:sz w:val="30"/>
          <w:szCs w:val="30"/>
          <w:lang w:val="en-US" w:eastAsia="zh-CN"/>
          <w14:textFill>
            <w14:solidFill>
              <w14:schemeClr w14:val="tx1"/>
            </w14:solidFill>
          </w14:textFill>
        </w:rPr>
        <w:t>县</w:t>
      </w:r>
      <w:r>
        <w:rPr>
          <w:rFonts w:hint="eastAsia" w:eastAsia="仿宋"/>
          <w:color w:val="000000" w:themeColor="text1"/>
          <w:sz w:val="30"/>
          <w:szCs w:val="30"/>
          <w14:textFill>
            <w14:solidFill>
              <w14:schemeClr w14:val="tx1"/>
            </w14:solidFill>
          </w14:textFill>
        </w:rPr>
        <w:t>的感知智能、管理精细、响应快速、调度协同、决策科学和服务人性的“智慧水利”管理新模式，形成一张智能感知网、一朵基础设施云、一个水利数据仓、一张水利专题图、一个智慧水利综合管理平台（水管理平台）、一套智慧运维保障体系、一套应用支撑体系、N大数字化业务应用系统”的“7+N”智慧水利布局，</w:t>
      </w:r>
      <w:r>
        <w:rPr>
          <w:rFonts w:eastAsia="仿宋"/>
          <w:color w:val="000000" w:themeColor="text1"/>
          <w:sz w:val="30"/>
          <w:szCs w:val="30"/>
          <w14:textFill>
            <w14:solidFill>
              <w14:schemeClr w14:val="tx1"/>
            </w14:solidFill>
          </w14:textFill>
        </w:rPr>
        <w:t>建设与实体工程网相对应的集涉水信息采集、集成、分析、预警、控制、调度于一体的</w:t>
      </w:r>
      <w:r>
        <w:rPr>
          <w:rFonts w:eastAsia="仿宋"/>
          <w:b/>
          <w:bCs/>
          <w:color w:val="000000" w:themeColor="text1"/>
          <w:sz w:val="30"/>
          <w:szCs w:val="30"/>
          <w14:textFill>
            <w14:solidFill>
              <w14:schemeClr w14:val="tx1"/>
            </w14:solidFill>
          </w14:textFill>
        </w:rPr>
        <w:t>智慧水利</w:t>
      </w:r>
      <w:r>
        <w:rPr>
          <w:rFonts w:hint="eastAsia" w:eastAsia="仿宋"/>
          <w:b/>
          <w:bCs/>
          <w:color w:val="000000" w:themeColor="text1"/>
          <w:sz w:val="30"/>
          <w:szCs w:val="30"/>
          <w:lang w:val="en-US" w:eastAsia="zh-CN"/>
          <w14:textFill>
            <w14:solidFill>
              <w14:schemeClr w14:val="tx1"/>
            </w14:solidFill>
          </w14:textFill>
        </w:rPr>
        <w:t>体系</w:t>
      </w:r>
      <w:r>
        <w:rPr>
          <w:rFonts w:eastAsia="仿宋"/>
          <w:color w:val="000000" w:themeColor="text1"/>
          <w:sz w:val="30"/>
          <w:szCs w:val="30"/>
          <w14:textFill>
            <w14:solidFill>
              <w14:schemeClr w14:val="tx1"/>
            </w14:solidFill>
          </w14:textFill>
        </w:rPr>
        <w:t>。集成上述</w:t>
      </w:r>
      <w:r>
        <w:rPr>
          <w:rFonts w:hint="eastAsia" w:eastAsia="仿宋"/>
          <w:color w:val="000000" w:themeColor="text1"/>
          <w:sz w:val="30"/>
          <w:szCs w:val="30"/>
          <w:lang w:val="en-US" w:eastAsia="zh-CN"/>
          <w14:textFill>
            <w14:solidFill>
              <w14:schemeClr w14:val="tx1"/>
            </w14:solidFill>
          </w14:textFill>
        </w:rPr>
        <w:t>四大体系</w:t>
      </w:r>
      <w:r>
        <w:rPr>
          <w:rFonts w:eastAsia="仿宋"/>
          <w:color w:val="000000" w:themeColor="text1"/>
          <w:sz w:val="30"/>
          <w:szCs w:val="30"/>
          <w14:textFill>
            <w14:solidFill>
              <w14:schemeClr w14:val="tx1"/>
            </w14:solidFill>
          </w14:textFill>
        </w:rPr>
        <w:t>，工程和智能管理交相呼应，防洪保安、</w:t>
      </w:r>
      <w:r>
        <w:rPr>
          <w:rFonts w:hint="eastAsia" w:eastAsia="仿宋"/>
          <w:color w:val="000000" w:themeColor="text1"/>
          <w:sz w:val="30"/>
          <w:szCs w:val="30"/>
          <w:lang w:val="en-US" w:eastAsia="zh-CN"/>
          <w14:textFill>
            <w14:solidFill>
              <w14:schemeClr w14:val="tx1"/>
            </w14:solidFill>
          </w14:textFill>
        </w:rPr>
        <w:t>水资源保障</w:t>
      </w:r>
      <w:r>
        <w:rPr>
          <w:rFonts w:eastAsia="仿宋"/>
          <w:color w:val="000000" w:themeColor="text1"/>
          <w:sz w:val="30"/>
          <w:szCs w:val="30"/>
          <w14:textFill>
            <w14:solidFill>
              <w14:schemeClr w14:val="tx1"/>
            </w14:solidFill>
          </w14:textFill>
        </w:rPr>
        <w:t>和</w:t>
      </w:r>
      <w:r>
        <w:rPr>
          <w:rFonts w:hint="eastAsia" w:eastAsia="仿宋"/>
          <w:color w:val="000000" w:themeColor="text1"/>
          <w:sz w:val="30"/>
          <w:szCs w:val="30"/>
          <w:lang w:val="en-US" w:eastAsia="zh-CN"/>
          <w14:textFill>
            <w14:solidFill>
              <w14:schemeClr w14:val="tx1"/>
            </w14:solidFill>
          </w14:textFill>
        </w:rPr>
        <w:t>水生态环境</w:t>
      </w:r>
      <w:r>
        <w:rPr>
          <w:rFonts w:eastAsia="仿宋"/>
          <w:color w:val="000000" w:themeColor="text1"/>
          <w:sz w:val="30"/>
          <w:szCs w:val="30"/>
          <w14:textFill>
            <w14:solidFill>
              <w14:schemeClr w14:val="tx1"/>
            </w14:solidFill>
          </w14:textFill>
        </w:rPr>
        <w:t>相融合，构建安全、</w:t>
      </w:r>
      <w:r>
        <w:rPr>
          <w:rFonts w:hint="eastAsia" w:eastAsia="仿宋"/>
          <w:color w:val="000000" w:themeColor="text1"/>
          <w:sz w:val="30"/>
          <w:szCs w:val="30"/>
          <w14:textFill>
            <w14:solidFill>
              <w14:schemeClr w14:val="tx1"/>
            </w14:solidFill>
          </w14:textFill>
        </w:rPr>
        <w:t>均衡</w:t>
      </w:r>
      <w:r>
        <w:rPr>
          <w:rFonts w:eastAsia="仿宋"/>
          <w:color w:val="000000" w:themeColor="text1"/>
          <w:sz w:val="30"/>
          <w:szCs w:val="30"/>
          <w14:textFill>
            <w14:solidFill>
              <w14:schemeClr w14:val="tx1"/>
            </w14:solidFill>
          </w14:textFill>
        </w:rPr>
        <w:t>、富民、智慧的</w:t>
      </w:r>
      <w:r>
        <w:rPr>
          <w:rFonts w:hint="eastAsia" w:ascii="仿宋" w:hAnsi="仿宋" w:eastAsia="仿宋" w:cs="仿宋"/>
          <w:color w:val="000000" w:themeColor="text1"/>
          <w:sz w:val="30"/>
          <w:szCs w:val="30"/>
          <w:lang w:val="en-US" w:eastAsia="zh-CN"/>
          <w14:textFill>
            <w14:solidFill>
              <w14:schemeClr w14:val="tx1"/>
            </w14:solidFill>
          </w14:textFill>
        </w:rPr>
        <w:t>云和水利综合保障体系</w:t>
      </w:r>
      <w:r>
        <w:rPr>
          <w:rFonts w:hint="eastAsia" w:ascii="仿宋" w:hAnsi="仿宋" w:eastAsia="仿宋" w:cs="仿宋"/>
          <w:color w:val="000000" w:themeColor="text1"/>
          <w:sz w:val="30"/>
          <w:szCs w:val="30"/>
          <w14:textFill>
            <w14:solidFill>
              <w14:schemeClr w14:val="tx1"/>
            </w14:solidFill>
          </w14:textFill>
        </w:rPr>
        <w:t>。</w:t>
      </w:r>
    </w:p>
    <w:p>
      <w:pPr>
        <w:pStyle w:val="4"/>
        <w:ind w:firstLine="602"/>
        <w:rPr>
          <w:rFonts w:hint="eastAsia" w:ascii="仿宋" w:hAnsi="仿宋" w:cs="仿宋"/>
          <w:color w:val="000000" w:themeColor="text1"/>
          <w:szCs w:val="30"/>
          <w14:textFill>
            <w14:solidFill>
              <w14:schemeClr w14:val="tx1"/>
            </w14:solidFill>
          </w14:textFill>
        </w:rPr>
      </w:pPr>
      <w:bookmarkStart w:id="36" w:name="_Toc31208"/>
      <w:bookmarkStart w:id="37" w:name="_Toc17967"/>
      <w:r>
        <w:rPr>
          <w:rFonts w:hint="eastAsia" w:ascii="仿宋" w:hAnsi="仿宋" w:cs="仿宋"/>
          <w:color w:val="000000" w:themeColor="text1"/>
          <w:szCs w:val="30"/>
          <w:lang w:val="en-US" w:eastAsia="zh-CN"/>
          <w14:textFill>
            <w14:solidFill>
              <w14:schemeClr w14:val="tx1"/>
            </w14:solidFill>
          </w14:textFill>
        </w:rPr>
        <w:t xml:space="preserve">2.4 </w:t>
      </w:r>
      <w:r>
        <w:rPr>
          <w:rFonts w:hint="eastAsia" w:ascii="仿宋" w:hAnsi="仿宋" w:cs="仿宋"/>
          <w:color w:val="000000" w:themeColor="text1"/>
          <w:szCs w:val="30"/>
          <w14:textFill>
            <w14:solidFill>
              <w14:schemeClr w14:val="tx1"/>
            </w14:solidFill>
          </w14:textFill>
        </w:rPr>
        <w:t>发展目标</w:t>
      </w:r>
      <w:bookmarkEnd w:id="36"/>
      <w:bookmarkEnd w:id="37"/>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default" w:ascii="仿宋_GB2312" w:eastAsia="仿宋_GB2312" w:cs="仿宋_GB2312"/>
          <w:bCs/>
          <w:sz w:val="32"/>
          <w:szCs w:val="32"/>
          <w:lang w:val="en-US" w:eastAsia="zh-CN"/>
        </w:rPr>
      </w:pPr>
      <w:bookmarkStart w:id="38" w:name="_Hlk50638916"/>
      <w:r>
        <w:rPr>
          <w:rFonts w:hint="eastAsia" w:ascii="仿宋" w:hAnsi="仿宋" w:eastAsia="仿宋" w:cs="仿宋"/>
          <w:b w:val="0"/>
          <w:bCs w:val="0"/>
          <w:color w:val="000000" w:themeColor="text1"/>
          <w:sz w:val="30"/>
          <w:szCs w:val="30"/>
          <w:highlight w:val="none"/>
          <w14:textFill>
            <w14:solidFill>
              <w14:schemeClr w14:val="tx1"/>
            </w14:solidFill>
          </w14:textFill>
        </w:rPr>
        <w:t>到2025年，聚焦聚力高质量发展，全面提升水安全保障能力，构建更加完善的</w:t>
      </w:r>
      <w:r>
        <w:rPr>
          <w:rFonts w:hint="eastAsia" w:ascii="仿宋" w:hAnsi="仿宋" w:eastAsia="仿宋" w:cs="仿宋"/>
          <w:color w:val="000000" w:themeColor="text1"/>
          <w:sz w:val="30"/>
          <w:szCs w:val="30"/>
          <w:lang w:val="en-US" w:eastAsia="zh-CN"/>
          <w14:textFill>
            <w14:solidFill>
              <w14:schemeClr w14:val="tx1"/>
            </w14:solidFill>
          </w14:textFill>
        </w:rPr>
        <w:t>水利综合保障体系</w:t>
      </w:r>
      <w:r>
        <w:rPr>
          <w:rFonts w:hint="eastAsia" w:ascii="仿宋" w:hAnsi="仿宋" w:eastAsia="仿宋" w:cs="仿宋"/>
          <w:b w:val="0"/>
          <w:bCs w:val="0"/>
          <w:color w:val="000000" w:themeColor="text1"/>
          <w:sz w:val="30"/>
          <w:szCs w:val="30"/>
          <w:highlight w:val="none"/>
          <w14:textFill>
            <w14:solidFill>
              <w14:schemeClr w14:val="tx1"/>
            </w14:solidFill>
          </w14:textFill>
        </w:rPr>
        <w:t>，基本实现洪涝可防、河湖可亲、资源可调、文化可赏、管理可控</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同时</w:t>
      </w:r>
      <w:r>
        <w:rPr>
          <w:rFonts w:hint="eastAsia" w:ascii="仿宋" w:hAnsi="仿宋" w:eastAsia="仿宋" w:cs="仿宋"/>
          <w:b w:val="0"/>
          <w:bCs w:val="0"/>
          <w:color w:val="000000" w:themeColor="text1"/>
          <w:sz w:val="30"/>
          <w:szCs w:val="30"/>
          <w:highlight w:val="none"/>
          <w14:textFill>
            <w14:solidFill>
              <w14:schemeClr w14:val="tx1"/>
            </w14:solidFill>
          </w14:textFill>
        </w:rPr>
        <w:t>为</w:t>
      </w:r>
      <w:r>
        <w:rPr>
          <w:rFonts w:ascii="Times New Roman" w:hAnsi="Times New Roman" w:eastAsia="仿宋_GB2312"/>
          <w:b w:val="0"/>
          <w:bCs w:val="0"/>
          <w:sz w:val="32"/>
          <w:szCs w:val="32"/>
          <w:highlight w:val="none"/>
        </w:rPr>
        <w:t>“诗画浙江”</w:t>
      </w:r>
      <w:r>
        <w:rPr>
          <w:rFonts w:hint="eastAsia" w:ascii="仿宋" w:hAnsi="仿宋" w:eastAsia="仿宋" w:cs="仿宋"/>
          <w:b w:val="0"/>
          <w:bCs w:val="0"/>
          <w:color w:val="000000" w:themeColor="text1"/>
          <w:sz w:val="30"/>
          <w:szCs w:val="30"/>
          <w:highlight w:val="none"/>
          <w14:textFill>
            <w14:solidFill>
              <w14:schemeClr w14:val="tx1"/>
            </w14:solidFill>
          </w14:textFill>
        </w:rPr>
        <w:t>大花园</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示范区</w:t>
      </w:r>
      <w:r>
        <w:rPr>
          <w:rFonts w:hint="eastAsia" w:ascii="仿宋" w:hAnsi="仿宋" w:eastAsia="仿宋" w:cs="仿宋"/>
          <w:b w:val="0"/>
          <w:bCs w:val="0"/>
          <w:color w:val="000000" w:themeColor="text1"/>
          <w:sz w:val="30"/>
          <w:szCs w:val="30"/>
          <w:highlight w:val="none"/>
          <w14:textFill>
            <w14:solidFill>
              <w14:schemeClr w14:val="tx1"/>
            </w14:solidFill>
          </w14:textFill>
        </w:rPr>
        <w:t>建设提供强有力的水安全保障</w:t>
      </w:r>
      <w:r>
        <w:rPr>
          <w:rFonts w:hint="eastAsia" w:ascii="仿宋" w:hAnsi="仿宋" w:eastAsia="仿宋" w:cs="仿宋"/>
          <w:b w:val="0"/>
          <w:bCs w:val="0"/>
          <w:color w:val="000000" w:themeColor="text1"/>
          <w:sz w:val="30"/>
          <w:szCs w:val="30"/>
          <w:highlight w:val="none"/>
          <w:lang w:eastAsia="zh-CN"/>
          <w14:textFill>
            <w14:solidFill>
              <w14:schemeClr w14:val="tx1"/>
            </w14:solidFill>
          </w14:textFill>
        </w:rPr>
        <w:t>，</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为打造</w:t>
      </w:r>
      <w:r>
        <w:rPr>
          <w:rFonts w:hint="eastAsia" w:ascii="仿宋_GB2312" w:eastAsia="仿宋_GB2312" w:cs="仿宋_GB2312"/>
          <w:b w:val="0"/>
          <w:bCs w:val="0"/>
          <w:sz w:val="32"/>
          <w:szCs w:val="32"/>
          <w:highlight w:val="none"/>
        </w:rPr>
        <w:t>新型城镇化样板县域</w:t>
      </w:r>
      <w:r>
        <w:rPr>
          <w:rFonts w:hint="eastAsia" w:ascii="仿宋_GB2312" w:eastAsia="仿宋_GB2312" w:cs="仿宋_GB2312"/>
          <w:b w:val="0"/>
          <w:bCs w:val="0"/>
          <w:sz w:val="32"/>
          <w:szCs w:val="32"/>
          <w:highlight w:val="none"/>
          <w:lang w:val="en-US" w:eastAsia="zh-CN"/>
        </w:rPr>
        <w:t>输送优质水资源。</w:t>
      </w:r>
    </w:p>
    <w:p>
      <w:pPr>
        <w:pStyle w:val="38"/>
        <w:ind w:firstLine="602"/>
        <w:rPr>
          <w:rFonts w:eastAsia="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——打造更高标准的水安全保障</w:t>
      </w:r>
      <w:r>
        <w:rPr>
          <w:rFonts w:hint="eastAsia" w:ascii="仿宋" w:hAnsi="仿宋" w:eastAsia="仿宋" w:cs="仿宋"/>
          <w:color w:val="000000" w:themeColor="text1"/>
          <w:sz w:val="30"/>
          <w:szCs w:val="30"/>
          <w14:textFill>
            <w14:solidFill>
              <w14:schemeClr w14:val="tx1"/>
            </w14:solidFill>
          </w14:textFill>
        </w:rPr>
        <w:t>。全面消除现有病险水利工程安全隐患，进一步完善流域的防洪闭合圈</w:t>
      </w:r>
      <w:r>
        <w:rPr>
          <w:rFonts w:eastAsia="仿宋"/>
          <w:color w:val="000000" w:themeColor="text1"/>
          <w:sz w:val="30"/>
          <w:szCs w:val="30"/>
          <w14:textFill>
            <w14:solidFill>
              <w14:schemeClr w14:val="tx1"/>
            </w14:solidFill>
          </w14:textFill>
        </w:rPr>
        <w:t>，城区防洪闭合圈达到20~50年一遇防洪标准；</w:t>
      </w:r>
      <w:r>
        <w:rPr>
          <w:rFonts w:hint="eastAsia" w:ascii="仿宋" w:hAnsi="仿宋" w:eastAsia="仿宋" w:cs="仿宋"/>
          <w:color w:val="000000" w:themeColor="text1"/>
          <w:sz w:val="30"/>
          <w:szCs w:val="30"/>
          <w14:textFill>
            <w14:solidFill>
              <w14:schemeClr w14:val="tx1"/>
            </w14:solidFill>
          </w14:textFill>
        </w:rPr>
        <w:t>乡镇防洪能力达到</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年一遇及以上；农村区域防洪标</w:t>
      </w:r>
      <w:r>
        <w:rPr>
          <w:rFonts w:eastAsia="仿宋"/>
          <w:color w:val="000000" w:themeColor="text1"/>
          <w:sz w:val="30"/>
          <w:szCs w:val="30"/>
          <w14:textFill>
            <w14:solidFill>
              <w14:schemeClr w14:val="tx1"/>
            </w14:solidFill>
          </w14:textFill>
        </w:rPr>
        <w:t>准达到10年一遇</w:t>
      </w:r>
      <w:r>
        <w:rPr>
          <w:rFonts w:hint="eastAsia" w:eastAsia="仿宋"/>
          <w:color w:val="000000" w:themeColor="text1"/>
          <w:sz w:val="30"/>
          <w:szCs w:val="30"/>
          <w:lang w:val="en-US" w:eastAsia="zh-CN"/>
          <w14:textFill>
            <w14:solidFill>
              <w14:schemeClr w14:val="tx1"/>
            </w14:solidFill>
          </w14:textFill>
        </w:rPr>
        <w:t>及以上</w:t>
      </w:r>
      <w:r>
        <w:rPr>
          <w:rFonts w:hint="eastAsia" w:eastAsia="仿宋"/>
          <w:color w:val="000000" w:themeColor="text1"/>
          <w:sz w:val="30"/>
          <w:szCs w:val="30"/>
          <w14:textFill>
            <w14:solidFill>
              <w14:schemeClr w14:val="tx1"/>
            </w14:solidFill>
          </w14:textFill>
        </w:rPr>
        <w:t>，洪涝灾害预报预警与应急协同处置能力全面提升。</w:t>
      </w:r>
    </w:p>
    <w:p>
      <w:pPr>
        <w:pStyle w:val="38"/>
        <w:ind w:firstLine="602"/>
        <w:rPr>
          <w:rFonts w:ascii="仿宋" w:hAnsi="仿宋" w:eastAsia="仿宋" w:cs="仿宋"/>
          <w:b w:val="0"/>
          <w:bCs w:val="0"/>
          <w:color w:val="000000" w:themeColor="text1"/>
          <w:sz w:val="30"/>
          <w:szCs w:val="30"/>
          <w:highlight w:val="none"/>
          <w:u w:val="none"/>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——提供更优的水资源保障</w:t>
      </w:r>
      <w:r>
        <w:rPr>
          <w:rFonts w:hint="eastAsia" w:ascii="仿宋" w:hAnsi="仿宋" w:eastAsia="仿宋" w:cs="仿宋"/>
          <w:color w:val="000000" w:themeColor="text1"/>
          <w:sz w:val="30"/>
          <w:szCs w:val="30"/>
          <w14:textFill>
            <w14:solidFill>
              <w14:schemeClr w14:val="tx1"/>
            </w14:solidFill>
          </w14:textFill>
        </w:rPr>
        <w:t>。县城“一源一备”供水体系全面形成，农村供水水源全面保障，生态用水满足维护河流健康状态的基本要求。</w:t>
      </w:r>
      <w:r>
        <w:rPr>
          <w:rFonts w:hint="eastAsia" w:ascii="仿宋" w:hAnsi="仿宋" w:eastAsia="仿宋" w:cs="仿宋"/>
          <w:b w:val="0"/>
          <w:bCs w:val="0"/>
          <w:color w:val="000000" w:themeColor="text1"/>
          <w:sz w:val="30"/>
          <w:szCs w:val="30"/>
          <w:highlight w:val="none"/>
          <w:u w:val="none"/>
          <w14:textFill>
            <w14:solidFill>
              <w14:schemeClr w14:val="tx1"/>
            </w14:solidFill>
          </w14:textFill>
        </w:rPr>
        <w:t>全县新增工程年供水能力</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71万</w:t>
      </w:r>
      <w:r>
        <w:rPr>
          <w:rFonts w:hint="eastAsia" w:ascii="仿宋" w:hAnsi="仿宋" w:eastAsia="仿宋" w:cs="仿宋"/>
          <w:b w:val="0"/>
          <w:bCs w:val="0"/>
          <w:color w:val="000000" w:themeColor="text1"/>
          <w:sz w:val="30"/>
          <w:szCs w:val="30"/>
          <w:highlight w:val="none"/>
          <w:u w:val="none"/>
          <w14:textFill>
            <w14:solidFill>
              <w14:schemeClr w14:val="tx1"/>
            </w14:solidFill>
          </w14:textFill>
        </w:rPr>
        <w:t>m</w:t>
      </w:r>
      <w:r>
        <w:rPr>
          <w:rFonts w:ascii="Calibri" w:hAnsi="Calibri" w:eastAsia="仿宋" w:cs="Calibri"/>
          <w:b w:val="0"/>
          <w:bCs w:val="0"/>
          <w:color w:val="000000" w:themeColor="text1"/>
          <w:sz w:val="30"/>
          <w:szCs w:val="30"/>
          <w:highlight w:val="none"/>
          <w:u w:val="none"/>
          <w14:textFill>
            <w14:solidFill>
              <w14:schemeClr w14:val="tx1"/>
            </w14:solidFill>
          </w14:textFill>
        </w:rPr>
        <w:t>³</w:t>
      </w:r>
      <w:r>
        <w:rPr>
          <w:rFonts w:hint="eastAsia" w:ascii="仿宋" w:hAnsi="仿宋" w:eastAsia="仿宋" w:cs="仿宋"/>
          <w:b w:val="0"/>
          <w:bCs w:val="0"/>
          <w:color w:val="000000" w:themeColor="text1"/>
          <w:sz w:val="30"/>
          <w:szCs w:val="30"/>
          <w:highlight w:val="none"/>
          <w:u w:val="none"/>
          <w14:textFill>
            <w14:solidFill>
              <w14:schemeClr w14:val="tx1"/>
            </w14:solidFill>
          </w14:textFill>
        </w:rPr>
        <w:t>，</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城乡</w:t>
      </w:r>
      <w:r>
        <w:rPr>
          <w:rFonts w:hint="eastAsia" w:ascii="仿宋" w:hAnsi="仿宋" w:eastAsia="仿宋" w:cs="仿宋"/>
          <w:b w:val="0"/>
          <w:bCs w:val="0"/>
          <w:color w:val="000000" w:themeColor="text1"/>
          <w:sz w:val="30"/>
          <w:szCs w:val="30"/>
          <w:highlight w:val="none"/>
          <w:u w:val="none"/>
          <w14:textFill>
            <w14:solidFill>
              <w14:schemeClr w14:val="tx1"/>
            </w14:solidFill>
          </w14:textFill>
        </w:rPr>
        <w:t>规模化工程供水人口覆盖比例达</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77</w:t>
      </w:r>
      <w:r>
        <w:rPr>
          <w:rFonts w:hint="eastAsia" w:ascii="仿宋" w:hAnsi="仿宋" w:eastAsia="仿宋" w:cs="仿宋"/>
          <w:b w:val="0"/>
          <w:bCs w:val="0"/>
          <w:color w:val="000000" w:themeColor="text1"/>
          <w:sz w:val="30"/>
          <w:szCs w:val="30"/>
          <w:highlight w:val="none"/>
          <w:u w:val="none"/>
          <w14:textFill>
            <w14:solidFill>
              <w14:schemeClr w14:val="tx1"/>
            </w14:solidFill>
          </w14:textFill>
        </w:rPr>
        <w:t>%以上，农村自来水普及率达到</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100</w:t>
      </w:r>
      <w:r>
        <w:rPr>
          <w:rFonts w:hint="eastAsia" w:ascii="仿宋" w:hAnsi="仿宋" w:eastAsia="仿宋" w:cs="仿宋"/>
          <w:b w:val="0"/>
          <w:bCs w:val="0"/>
          <w:color w:val="000000" w:themeColor="text1"/>
          <w:sz w:val="30"/>
          <w:szCs w:val="30"/>
          <w:highlight w:val="none"/>
          <w:u w:val="none"/>
          <w14:textFill>
            <w14:solidFill>
              <w14:schemeClr w14:val="tx1"/>
            </w14:solidFill>
          </w14:textFill>
        </w:rPr>
        <w:t>%</w:t>
      </w:r>
      <w:r>
        <w:rPr>
          <w:rFonts w:hint="eastAsia" w:ascii="仿宋" w:hAnsi="仿宋" w:eastAsia="仿宋" w:cs="仿宋"/>
          <w:b w:val="0"/>
          <w:bCs w:val="0"/>
          <w:color w:val="000000" w:themeColor="text1"/>
          <w:sz w:val="30"/>
          <w:szCs w:val="30"/>
          <w:highlight w:val="none"/>
          <w:u w:val="none"/>
          <w:lang w:eastAsia="zh-CN"/>
          <w14:textFill>
            <w14:solidFill>
              <w14:schemeClr w14:val="tx1"/>
            </w14:solidFill>
          </w14:textFill>
        </w:rPr>
        <w:t>，</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农村集中供水率达到100%</w:t>
      </w:r>
      <w:r>
        <w:rPr>
          <w:rFonts w:hint="eastAsia" w:ascii="仿宋" w:hAnsi="仿宋" w:eastAsia="仿宋" w:cs="仿宋"/>
          <w:b w:val="0"/>
          <w:bCs w:val="0"/>
          <w:color w:val="000000" w:themeColor="text1"/>
          <w:sz w:val="30"/>
          <w:szCs w:val="30"/>
          <w:highlight w:val="none"/>
          <w:u w:val="none"/>
          <w14:textFill>
            <w14:solidFill>
              <w14:schemeClr w14:val="tx1"/>
            </w14:solidFill>
          </w14:textFill>
        </w:rPr>
        <w:t>；农田灌溉水有效利用系数达到</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0.59</w:t>
      </w:r>
      <w:r>
        <w:rPr>
          <w:rFonts w:hint="eastAsia" w:ascii="仿宋" w:hAnsi="仿宋" w:eastAsia="仿宋" w:cs="仿宋"/>
          <w:b w:val="0"/>
          <w:bCs w:val="0"/>
          <w:color w:val="000000" w:themeColor="text1"/>
          <w:sz w:val="30"/>
          <w:szCs w:val="30"/>
          <w:highlight w:val="none"/>
          <w:u w:val="none"/>
          <w14:textFill>
            <w14:solidFill>
              <w14:schemeClr w14:val="tx1"/>
            </w14:solidFill>
          </w14:textFill>
        </w:rPr>
        <w:t>以上。</w:t>
      </w:r>
    </w:p>
    <w:p>
      <w:pPr>
        <w:pStyle w:val="38"/>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w:t>
      </w:r>
      <w:bookmarkStart w:id="39" w:name="_Hlk55395905"/>
      <w:r>
        <w:rPr>
          <w:rFonts w:hint="eastAsia" w:ascii="仿宋" w:hAnsi="仿宋" w:eastAsia="仿宋" w:cs="仿宋"/>
          <w:b/>
          <w:bCs/>
          <w:color w:val="000000" w:themeColor="text1"/>
          <w:sz w:val="30"/>
          <w:szCs w:val="30"/>
          <w14:textFill>
            <w14:solidFill>
              <w14:schemeClr w14:val="tx1"/>
            </w14:solidFill>
          </w14:textFill>
        </w:rPr>
        <w:t>构建更高品质的水生态环境</w:t>
      </w:r>
      <w:bookmarkEnd w:id="39"/>
      <w:r>
        <w:rPr>
          <w:rFonts w:hint="eastAsia"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全</w:t>
      </w:r>
      <w:r>
        <w:rPr>
          <w:rFonts w:hint="eastAsia" w:ascii="仿宋" w:hAnsi="仿宋" w:eastAsia="仿宋" w:cs="仿宋"/>
          <w:color w:val="000000" w:themeColor="text1"/>
          <w:sz w:val="30"/>
          <w:szCs w:val="30"/>
          <w:lang w:val="en-US" w:eastAsia="zh-CN"/>
          <w14:textFill>
            <w14:solidFill>
              <w14:schemeClr w14:val="tx1"/>
            </w14:solidFill>
          </w14:textFill>
        </w:rPr>
        <w:t>县</w:t>
      </w:r>
      <w:r>
        <w:rPr>
          <w:rFonts w:hint="eastAsia" w:ascii="仿宋" w:hAnsi="仿宋" w:eastAsia="仿宋" w:cs="仿宋"/>
          <w:color w:val="000000" w:themeColor="text1"/>
          <w:sz w:val="30"/>
          <w:szCs w:val="30"/>
          <w14:textFill>
            <w14:solidFill>
              <w14:schemeClr w14:val="tx1"/>
            </w14:solidFill>
          </w14:textFill>
        </w:rPr>
        <w:t>基本达到幸福河湖建设目标，河湖空间得到有效保护，水域面积率保持只增不减；重点水功能区水质达标率达到100%，，城镇集中式饮用水水源地合格率达到100%，</w:t>
      </w:r>
      <w:r>
        <w:rPr>
          <w:rFonts w:hint="eastAsia" w:ascii="仿宋" w:hAnsi="仿宋" w:eastAsia="仿宋" w:cs="仿宋"/>
          <w:color w:val="000000" w:themeColor="text1"/>
          <w:sz w:val="30"/>
          <w:szCs w:val="30"/>
          <w:lang w:val="en-US" w:eastAsia="zh-CN"/>
          <w14:textFill>
            <w14:solidFill>
              <w14:schemeClr w14:val="tx1"/>
            </w14:solidFill>
          </w14:textFill>
        </w:rPr>
        <w:t>水土保持率达到93.5%以上</w:t>
      </w:r>
      <w:r>
        <w:rPr>
          <w:rFonts w:hint="eastAsia" w:ascii="仿宋" w:hAnsi="仿宋" w:eastAsia="仿宋" w:cs="仿宋"/>
          <w:color w:val="000000" w:themeColor="text1"/>
          <w:sz w:val="30"/>
          <w:szCs w:val="30"/>
          <w14:textFill>
            <w14:solidFill>
              <w14:schemeClr w14:val="tx1"/>
            </w14:solidFill>
          </w14:textFill>
        </w:rPr>
        <w:t>，江河干流主要控制断面河道内生态基流得到有效保障，水生态系统保持良性循环，全民爱水护水管水的良好氛围基本形成。</w:t>
      </w:r>
    </w:p>
    <w:p>
      <w:pPr>
        <w:pStyle w:val="38"/>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——提供更高智能的智慧水利应用。</w:t>
      </w:r>
      <w:r>
        <w:rPr>
          <w:rFonts w:hint="eastAsia" w:ascii="仿宋" w:hAnsi="仿宋" w:eastAsia="仿宋" w:cs="仿宋"/>
          <w:color w:val="000000" w:themeColor="text1"/>
          <w:sz w:val="30"/>
          <w:szCs w:val="30"/>
          <w14:textFill>
            <w14:solidFill>
              <w14:schemeClr w14:val="tx1"/>
            </w14:solidFill>
          </w14:textFill>
        </w:rPr>
        <w:t>以“最多跑一次”改革为牵引，以省水利数字化转型总体要求为标准，以“互联网+”为抓手，推动网信新技术、新模式、新理念与现代水利深度融合，基本建成一张智能感知网、一朵基础设施云、一个水利数据仓、一张水利专题图、一个智慧水利综合管理平台（水管理平台）、一套智慧运维保障体系、一套应用支撑体系、N大数字化业务应用系统”的“7+N”智慧水利体系。</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智慧水利（水管理平台）建设取得重要进展。</w:t>
      </w:r>
    </w:p>
    <w:p>
      <w:pPr>
        <w:pStyle w:val="38"/>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——发展更高效益的涉水产品服务。</w:t>
      </w:r>
      <w:r>
        <w:rPr>
          <w:rFonts w:hint="eastAsia" w:ascii="仿宋" w:hAnsi="仿宋" w:eastAsia="仿宋" w:cs="仿宋"/>
          <w:color w:val="000000" w:themeColor="text1"/>
          <w:sz w:val="30"/>
          <w:szCs w:val="30"/>
          <w14:textFill>
            <w14:solidFill>
              <w14:schemeClr w14:val="tx1"/>
            </w14:solidFill>
          </w14:textFill>
        </w:rPr>
        <w:t>着力推动</w:t>
      </w:r>
      <w:r>
        <w:rPr>
          <w:rFonts w:hint="eastAsia" w:ascii="仿宋" w:hAnsi="仿宋" w:eastAsia="仿宋" w:cs="仿宋"/>
          <w:color w:val="000000" w:themeColor="text1"/>
          <w:sz w:val="30"/>
          <w:szCs w:val="30"/>
          <w:lang w:eastAsia="zh-CN"/>
          <w14:textFill>
            <w14:solidFill>
              <w14:schemeClr w14:val="tx1"/>
            </w14:solidFill>
          </w14:textFill>
        </w:rPr>
        <w:t>云和</w:t>
      </w:r>
      <w:r>
        <w:rPr>
          <w:rFonts w:hint="eastAsia" w:ascii="仿宋" w:hAnsi="仿宋" w:eastAsia="仿宋" w:cs="仿宋"/>
          <w:color w:val="000000" w:themeColor="text1"/>
          <w:sz w:val="30"/>
          <w:szCs w:val="30"/>
          <w14:textFill>
            <w14:solidFill>
              <w14:schemeClr w14:val="tx1"/>
            </w14:solidFill>
          </w14:textFill>
        </w:rPr>
        <w:t>蕴含的</w:t>
      </w:r>
      <w:r>
        <w:rPr>
          <w:rFonts w:hint="eastAsia" w:ascii="仿宋" w:hAnsi="仿宋" w:eastAsia="仿宋" w:cs="仿宋"/>
          <w:color w:val="000000" w:themeColor="text1"/>
          <w:sz w:val="30"/>
          <w:szCs w:val="30"/>
          <w:lang w:val="en-US" w:eastAsia="zh-CN"/>
          <w14:textFill>
            <w14:solidFill>
              <w14:schemeClr w14:val="tx1"/>
            </w14:solidFill>
          </w14:textFill>
        </w:rPr>
        <w:t>水</w:t>
      </w:r>
      <w:r>
        <w:rPr>
          <w:rFonts w:hint="eastAsia" w:ascii="仿宋" w:hAnsi="仿宋" w:eastAsia="仿宋" w:cs="仿宋"/>
          <w:color w:val="000000" w:themeColor="text1"/>
          <w:sz w:val="30"/>
          <w:szCs w:val="30"/>
          <w14:textFill>
            <w14:solidFill>
              <w14:schemeClr w14:val="tx1"/>
            </w14:solidFill>
          </w14:textFill>
        </w:rPr>
        <w:t>生态价值向经济价值转变，资源配置由粗放分散向高效集约转变，水产业形态由“低、小、散、弱”向“高、大、聚、强”转变，加快打造创新引领、协同发展的水产业体系。</w:t>
      </w:r>
    </w:p>
    <w:p>
      <w:pPr>
        <w:pStyle w:val="38"/>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——完善更高效能的水治理体系</w:t>
      </w:r>
      <w:r>
        <w:rPr>
          <w:rFonts w:hint="eastAsia" w:ascii="仿宋" w:hAnsi="仿宋" w:eastAsia="仿宋" w:cs="仿宋"/>
          <w:color w:val="000000" w:themeColor="text1"/>
          <w:sz w:val="30"/>
          <w:szCs w:val="30"/>
          <w14:textFill>
            <w14:solidFill>
              <w14:schemeClr w14:val="tx1"/>
            </w14:solidFill>
          </w14:textFill>
        </w:rPr>
        <w:t>。涉水事务监管机制不断完善，涉水事务监管能力全面强化，水利智慧化管理初步实现,重要河湖水域岸线监管率达到1</w:t>
      </w:r>
      <w:r>
        <w:rPr>
          <w:rFonts w:ascii="仿宋" w:hAnsi="仿宋" w:eastAsia="仿宋" w:cs="仿宋"/>
          <w:color w:val="000000" w:themeColor="text1"/>
          <w:sz w:val="30"/>
          <w:szCs w:val="30"/>
          <w14:textFill>
            <w14:solidFill>
              <w14:schemeClr w14:val="tx1"/>
            </w14:solidFill>
          </w14:textFill>
        </w:rPr>
        <w:t>00</w:t>
      </w:r>
      <w:r>
        <w:rPr>
          <w:rFonts w:hint="eastAsia" w:ascii="仿宋" w:hAnsi="仿宋" w:eastAsia="仿宋" w:cs="仿宋"/>
          <w:color w:val="000000" w:themeColor="text1"/>
          <w:sz w:val="30"/>
          <w:szCs w:val="30"/>
          <w14:textFill>
            <w14:solidFill>
              <w14:schemeClr w14:val="tx1"/>
            </w14:solidFill>
          </w14:textFill>
        </w:rPr>
        <w:t>%；最严格水资源管理制度进一步落实，全县用水总量控制在</w:t>
      </w:r>
      <w:r>
        <w:rPr>
          <w:rFonts w:hint="eastAsia" w:ascii="仿宋" w:hAnsi="仿宋" w:eastAsia="仿宋" w:cs="仿宋"/>
          <w:color w:val="000000" w:themeColor="text1"/>
          <w:sz w:val="30"/>
          <w:szCs w:val="30"/>
          <w:highlight w:val="none"/>
          <w:u w:val="none"/>
          <w:lang w:val="en-US" w:eastAsia="zh-CN"/>
          <w14:textFill>
            <w14:solidFill>
              <w14:schemeClr w14:val="tx1"/>
            </w14:solidFill>
          </w14:textFill>
        </w:rPr>
        <w:t>0.45</w:t>
      </w:r>
      <w:r>
        <w:rPr>
          <w:rFonts w:hint="eastAsia" w:ascii="仿宋" w:hAnsi="仿宋" w:eastAsia="仿宋" w:cs="仿宋"/>
          <w:color w:val="000000" w:themeColor="text1"/>
          <w:sz w:val="30"/>
          <w:szCs w:val="30"/>
          <w14:textFill>
            <w14:solidFill>
              <w14:schemeClr w14:val="tx1"/>
            </w14:solidFill>
          </w14:textFill>
        </w:rPr>
        <w:t>亿m³以内，</w:t>
      </w:r>
      <w:r>
        <w:rPr>
          <w:rFonts w:hint="eastAsia" w:ascii="仿宋" w:hAnsi="仿宋" w:eastAsia="仿宋" w:cs="仿宋"/>
          <w:b w:val="0"/>
          <w:bCs w:val="0"/>
          <w:color w:val="000000" w:themeColor="text1"/>
          <w:sz w:val="30"/>
          <w:szCs w:val="30"/>
          <w:highlight w:val="none"/>
          <w:u w:val="none"/>
          <w14:textFill>
            <w14:solidFill>
              <w14:schemeClr w14:val="tx1"/>
            </w14:solidFill>
          </w14:textFill>
        </w:rPr>
        <w:t>万元</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GDP</w:t>
      </w:r>
      <w:r>
        <w:rPr>
          <w:rFonts w:hint="eastAsia" w:ascii="仿宋" w:hAnsi="仿宋" w:eastAsia="仿宋" w:cs="仿宋"/>
          <w:b w:val="0"/>
          <w:bCs w:val="0"/>
          <w:color w:val="000000" w:themeColor="text1"/>
          <w:sz w:val="30"/>
          <w:szCs w:val="30"/>
          <w:highlight w:val="none"/>
          <w:u w:val="none"/>
          <w14:textFill>
            <w14:solidFill>
              <w14:schemeClr w14:val="tx1"/>
            </w14:solidFill>
          </w14:textFill>
        </w:rPr>
        <w:t>用水量、万元工业增加值用水量较2020年</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分别下降12</w:t>
      </w:r>
      <w:bookmarkStart w:id="80" w:name="_GoBack"/>
      <w:bookmarkEnd w:id="80"/>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%和6</w:t>
      </w:r>
      <w:r>
        <w:rPr>
          <w:rFonts w:hint="eastAsia" w:ascii="仿宋" w:hAnsi="仿宋" w:eastAsia="仿宋" w:cs="仿宋"/>
          <w:b w:val="0"/>
          <w:bCs w:val="0"/>
          <w:color w:val="000000" w:themeColor="text1"/>
          <w:sz w:val="30"/>
          <w:szCs w:val="30"/>
          <w:highlight w:val="none"/>
          <w:u w:val="none"/>
          <w14:textFill>
            <w14:solidFill>
              <w14:schemeClr w14:val="tx1"/>
            </w14:solidFill>
          </w14:textFill>
        </w:rPr>
        <w:t>%</w:t>
      </w:r>
      <w:r>
        <w:rPr>
          <w:rFonts w:hint="eastAsia" w:ascii="仿宋" w:hAnsi="仿宋" w:eastAsia="仿宋" w:cs="仿宋"/>
          <w:b w:val="0"/>
          <w:bCs w:val="0"/>
          <w:color w:val="000000" w:themeColor="text1"/>
          <w:sz w:val="30"/>
          <w:szCs w:val="30"/>
          <w:highlight w:val="none"/>
          <w:u w:val="none"/>
          <w:lang w:val="en-US" w:eastAsia="zh-CN"/>
          <w14:textFill>
            <w14:solidFill>
              <w14:schemeClr w14:val="tx1"/>
            </w14:solidFill>
          </w14:textFill>
        </w:rPr>
        <w:t>以上</w:t>
      </w:r>
      <w:r>
        <w:rPr>
          <w:rFonts w:hint="eastAsia" w:ascii="仿宋" w:hAnsi="仿宋" w:eastAsia="仿宋" w:cs="仿宋"/>
          <w:b w:val="0"/>
          <w:bCs w:val="0"/>
          <w:color w:val="000000" w:themeColor="text1"/>
          <w:sz w:val="30"/>
          <w:szCs w:val="30"/>
          <w:highlight w:val="none"/>
          <w:u w:val="none"/>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投标企业诚信体系、工程质量、安全生产等建设全过程管理进一步强化，大中型水利工程三化改革率达到100%；进一步拓宽水利投融资渠道，加强投融资体制机制改革；水利职工服务能力与服务效率进一步提高。</w:t>
      </w:r>
    </w:p>
    <w:bookmarkEnd w:id="38"/>
    <w:p>
      <w:pPr>
        <w:pStyle w:val="38"/>
        <w:ind w:firstLine="600"/>
        <w:rPr>
          <w:rFonts w:ascii="仿宋" w:hAnsi="仿宋" w:eastAsia="仿宋" w:cs="仿宋"/>
          <w:color w:val="000000" w:themeColor="text1"/>
          <w:sz w:val="30"/>
          <w:szCs w:val="30"/>
          <w14:textFill>
            <w14:solidFill>
              <w14:schemeClr w14:val="tx1"/>
            </w14:solidFill>
          </w14:textFill>
        </w:rPr>
      </w:pPr>
    </w:p>
    <w:p>
      <w:pPr>
        <w:ind w:firstLine="482"/>
        <w:jc w:val="center"/>
        <w:rPr>
          <w:rFonts w:ascii="仿宋" w:hAnsi="仿宋"/>
          <w:b w:val="0"/>
          <w:bCs/>
          <w:color w:val="000000" w:themeColor="text1"/>
          <w:szCs w:val="24"/>
          <w:highlight w:val="none"/>
          <w14:textFill>
            <w14:solidFill>
              <w14:schemeClr w14:val="tx1"/>
            </w14:solidFill>
          </w14:textFill>
        </w:rPr>
      </w:pPr>
      <w:r>
        <w:rPr>
          <w:rFonts w:ascii="Times" w:hAnsi="Times"/>
          <w:b w:val="0"/>
          <w:bCs/>
          <w:color w:val="000000" w:themeColor="text1"/>
          <w:highlight w:val="none"/>
          <w14:textFill>
            <w14:solidFill>
              <w14:schemeClr w14:val="tx1"/>
            </w14:solidFill>
          </w14:textFill>
        </w:rPr>
        <w:t>表</w:t>
      </w:r>
      <w:r>
        <w:rPr>
          <w:rFonts w:hint="eastAsia" w:ascii="Times" w:hAnsi="Times"/>
          <w:b w:val="0"/>
          <w:bCs/>
          <w:color w:val="000000" w:themeColor="text1"/>
          <w:highlight w:val="none"/>
          <w14:textFill>
            <w14:solidFill>
              <w14:schemeClr w14:val="tx1"/>
            </w14:solidFill>
          </w14:textFill>
        </w:rPr>
        <w:t>2-</w:t>
      </w:r>
      <w:r>
        <w:rPr>
          <w:rFonts w:ascii="Times" w:hAnsi="Times"/>
          <w:b w:val="0"/>
          <w:bCs/>
          <w:color w:val="000000" w:themeColor="text1"/>
          <w:highlight w:val="none"/>
          <w14:textFill>
            <w14:solidFill>
              <w14:schemeClr w14:val="tx1"/>
            </w14:solidFill>
          </w14:textFill>
        </w:rPr>
        <w:t xml:space="preserve">1      </w:t>
      </w:r>
      <w:r>
        <w:rPr>
          <w:rFonts w:hint="eastAsia" w:ascii="Times" w:hAnsi="Times"/>
          <w:b w:val="0"/>
          <w:bCs/>
          <w:color w:val="000000" w:themeColor="text1"/>
          <w:highlight w:val="none"/>
          <w:lang w:val="en-US" w:eastAsia="zh-CN"/>
          <w14:textFill>
            <w14:solidFill>
              <w14:schemeClr w14:val="tx1"/>
            </w14:solidFill>
          </w14:textFill>
        </w:rPr>
        <w:t>云和县“十四五”水利</w:t>
      </w:r>
      <w:r>
        <w:rPr>
          <w:rFonts w:hint="eastAsia" w:ascii="Times" w:hAnsi="Times"/>
          <w:b w:val="0"/>
          <w:bCs/>
          <w:color w:val="000000" w:themeColor="text1"/>
          <w:highlight w:val="none"/>
          <w14:textFill>
            <w14:solidFill>
              <w14:schemeClr w14:val="tx1"/>
            </w14:solidFill>
          </w14:textFill>
        </w:rPr>
        <w:t>发展</w:t>
      </w:r>
      <w:r>
        <w:rPr>
          <w:rFonts w:hint="eastAsia" w:ascii="Times" w:hAnsi="Times"/>
          <w:b w:val="0"/>
          <w:bCs/>
          <w:color w:val="000000" w:themeColor="text1"/>
          <w:highlight w:val="none"/>
          <w:lang w:val="en-US" w:eastAsia="zh-CN"/>
          <w14:textFill>
            <w14:solidFill>
              <w14:schemeClr w14:val="tx1"/>
            </w14:solidFill>
          </w14:textFill>
        </w:rPr>
        <w:t>主要指标</w:t>
      </w:r>
    </w:p>
    <w:tbl>
      <w:tblPr>
        <w:tblStyle w:val="22"/>
        <w:tblW w:w="9214" w:type="dxa"/>
        <w:tblInd w:w="-307" w:type="dxa"/>
        <w:tblLayout w:type="fixed"/>
        <w:tblCellMar>
          <w:top w:w="0" w:type="dxa"/>
          <w:left w:w="108" w:type="dxa"/>
          <w:bottom w:w="0" w:type="dxa"/>
          <w:right w:w="108" w:type="dxa"/>
        </w:tblCellMar>
      </w:tblPr>
      <w:tblGrid>
        <w:gridCol w:w="1808"/>
        <w:gridCol w:w="559"/>
        <w:gridCol w:w="3445"/>
        <w:gridCol w:w="1133"/>
        <w:gridCol w:w="1139"/>
        <w:gridCol w:w="1130"/>
      </w:tblGrid>
      <w:tr>
        <w:tblPrEx>
          <w:tblCellMar>
            <w:top w:w="0" w:type="dxa"/>
            <w:left w:w="108" w:type="dxa"/>
            <w:bottom w:w="0" w:type="dxa"/>
            <w:right w:w="108" w:type="dxa"/>
          </w:tblCellMar>
        </w:tblPrEx>
        <w:trPr>
          <w:trHeight w:val="20" w:hRule="atLeast"/>
        </w:trPr>
        <w:tc>
          <w:tcPr>
            <w:tcW w:w="1808" w:type="dxa"/>
            <w:vMerge w:val="restart"/>
            <w:tcBorders>
              <w:top w:val="double" w:color="auto" w:sz="6" w:space="0"/>
              <w:left w:val="double" w:color="auto" w:sz="6" w:space="0"/>
              <w:bottom w:val="single" w:color="000000"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b/>
                <w:bCs/>
                <w:color w:val="000000"/>
                <w:sz w:val="21"/>
                <w:szCs w:val="21"/>
              </w:rPr>
            </w:pPr>
            <w:r>
              <w:rPr>
                <w:rFonts w:hint="eastAsia" w:ascii="仿宋" w:hAnsi="仿宋" w:eastAsia="仿宋" w:cs="宋体"/>
                <w:b/>
                <w:bCs/>
                <w:color w:val="000000"/>
                <w:sz w:val="21"/>
                <w:szCs w:val="21"/>
              </w:rPr>
              <w:t>类别</w:t>
            </w:r>
          </w:p>
        </w:tc>
        <w:tc>
          <w:tcPr>
            <w:tcW w:w="559" w:type="dxa"/>
            <w:vMerge w:val="restart"/>
            <w:tcBorders>
              <w:top w:val="double" w:color="auto" w:sz="6" w:space="0"/>
              <w:left w:val="single" w:color="auto" w:sz="8" w:space="0"/>
              <w:bottom w:val="single" w:color="000000"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b/>
                <w:bCs/>
                <w:color w:val="000000"/>
                <w:sz w:val="21"/>
                <w:szCs w:val="21"/>
              </w:rPr>
            </w:pPr>
            <w:r>
              <w:rPr>
                <w:rFonts w:hint="eastAsia" w:ascii="仿宋" w:hAnsi="仿宋" w:eastAsia="仿宋" w:cs="宋体"/>
                <w:b/>
                <w:bCs/>
                <w:color w:val="000000"/>
                <w:sz w:val="21"/>
                <w:szCs w:val="21"/>
              </w:rPr>
              <w:t>序号</w:t>
            </w:r>
          </w:p>
        </w:tc>
        <w:tc>
          <w:tcPr>
            <w:tcW w:w="3445" w:type="dxa"/>
            <w:vMerge w:val="restart"/>
            <w:tcBorders>
              <w:top w:val="double" w:color="auto" w:sz="6" w:space="0"/>
              <w:left w:val="single" w:color="auto" w:sz="8" w:space="0"/>
              <w:bottom w:val="single" w:color="000000"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b/>
                <w:bCs/>
                <w:color w:val="000000"/>
                <w:sz w:val="21"/>
                <w:szCs w:val="21"/>
              </w:rPr>
            </w:pPr>
            <w:r>
              <w:rPr>
                <w:rFonts w:hint="eastAsia" w:ascii="仿宋" w:hAnsi="仿宋" w:eastAsia="仿宋" w:cs="宋体"/>
                <w:b/>
                <w:bCs/>
                <w:color w:val="000000"/>
                <w:sz w:val="21"/>
                <w:szCs w:val="21"/>
              </w:rPr>
              <w:t>指标名称</w:t>
            </w:r>
          </w:p>
        </w:tc>
        <w:tc>
          <w:tcPr>
            <w:tcW w:w="1133" w:type="dxa"/>
            <w:tcBorders>
              <w:top w:val="double" w:color="auto" w:sz="6" w:space="0"/>
              <w:left w:val="nil"/>
              <w:bottom w:val="nil"/>
              <w:right w:val="single" w:color="auto" w:sz="8" w:space="0"/>
            </w:tcBorders>
            <w:shd w:val="clear" w:color="000000" w:fill="FFFFFF"/>
            <w:vAlign w:val="center"/>
          </w:tcPr>
          <w:p>
            <w:pPr>
              <w:spacing w:line="320" w:lineRule="exact"/>
              <w:ind w:firstLine="0" w:firstLineChars="0"/>
              <w:jc w:val="center"/>
              <w:rPr>
                <w:rFonts w:eastAsia="等线"/>
                <w:b/>
                <w:bCs/>
                <w:color w:val="000000"/>
                <w:sz w:val="21"/>
                <w:szCs w:val="21"/>
              </w:rPr>
            </w:pPr>
            <w:r>
              <w:rPr>
                <w:rFonts w:eastAsia="等线"/>
                <w:b/>
                <w:bCs/>
                <w:color w:val="000000"/>
                <w:sz w:val="21"/>
                <w:szCs w:val="21"/>
              </w:rPr>
              <w:t>“</w:t>
            </w:r>
            <w:r>
              <w:rPr>
                <w:rFonts w:hint="eastAsia" w:ascii="仿宋" w:hAnsi="仿宋" w:eastAsia="仿宋"/>
                <w:b/>
                <w:bCs/>
                <w:color w:val="000000"/>
                <w:sz w:val="21"/>
                <w:szCs w:val="21"/>
              </w:rPr>
              <w:t>十三五</w:t>
            </w:r>
            <w:r>
              <w:rPr>
                <w:rFonts w:eastAsia="等线"/>
                <w:b/>
                <w:bCs/>
                <w:color w:val="000000"/>
                <w:sz w:val="21"/>
                <w:szCs w:val="21"/>
              </w:rPr>
              <w:t>”</w:t>
            </w:r>
          </w:p>
        </w:tc>
        <w:tc>
          <w:tcPr>
            <w:tcW w:w="1139" w:type="dxa"/>
            <w:tcBorders>
              <w:top w:val="double" w:color="auto" w:sz="6" w:space="0"/>
              <w:left w:val="nil"/>
              <w:bottom w:val="nil"/>
              <w:right w:val="single" w:color="auto" w:sz="8" w:space="0"/>
            </w:tcBorders>
            <w:shd w:val="clear" w:color="000000" w:fill="FFFFFF"/>
            <w:vAlign w:val="center"/>
          </w:tcPr>
          <w:p>
            <w:pPr>
              <w:spacing w:line="320" w:lineRule="exact"/>
              <w:ind w:firstLine="0" w:firstLineChars="0"/>
              <w:jc w:val="center"/>
              <w:rPr>
                <w:rFonts w:eastAsia="等线"/>
                <w:b/>
                <w:bCs/>
                <w:color w:val="000000"/>
                <w:sz w:val="21"/>
                <w:szCs w:val="21"/>
              </w:rPr>
            </w:pPr>
            <w:r>
              <w:rPr>
                <w:rFonts w:eastAsia="等线"/>
                <w:b/>
                <w:bCs/>
                <w:color w:val="000000"/>
                <w:sz w:val="21"/>
                <w:szCs w:val="21"/>
              </w:rPr>
              <w:t>“</w:t>
            </w:r>
            <w:r>
              <w:rPr>
                <w:rFonts w:hint="eastAsia" w:ascii="仿宋" w:hAnsi="仿宋" w:eastAsia="仿宋"/>
                <w:b/>
                <w:bCs/>
                <w:color w:val="000000"/>
                <w:sz w:val="21"/>
                <w:szCs w:val="21"/>
              </w:rPr>
              <w:t>十四五</w:t>
            </w:r>
            <w:r>
              <w:rPr>
                <w:rFonts w:eastAsia="等线"/>
                <w:b/>
                <w:bCs/>
                <w:color w:val="000000"/>
                <w:sz w:val="21"/>
                <w:szCs w:val="21"/>
              </w:rPr>
              <w:t>”</w:t>
            </w:r>
          </w:p>
        </w:tc>
        <w:tc>
          <w:tcPr>
            <w:tcW w:w="1130" w:type="dxa"/>
            <w:vMerge w:val="restart"/>
            <w:tcBorders>
              <w:top w:val="double" w:color="auto" w:sz="6" w:space="0"/>
              <w:left w:val="single" w:color="auto" w:sz="8" w:space="0"/>
              <w:bottom w:val="single" w:color="000000"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b/>
                <w:bCs/>
                <w:color w:val="000000"/>
                <w:sz w:val="21"/>
                <w:szCs w:val="21"/>
              </w:rPr>
            </w:pPr>
            <w:r>
              <w:rPr>
                <w:rFonts w:hint="eastAsia" w:ascii="仿宋" w:hAnsi="仿宋" w:eastAsia="仿宋" w:cs="宋体"/>
                <w:b/>
                <w:bCs/>
                <w:color w:val="000000"/>
                <w:sz w:val="21"/>
                <w:szCs w:val="21"/>
              </w:rPr>
              <w:t>指标性质</w:t>
            </w:r>
          </w:p>
        </w:tc>
      </w:tr>
      <w:tr>
        <w:tblPrEx>
          <w:tblCellMar>
            <w:top w:w="0" w:type="dxa"/>
            <w:left w:w="108" w:type="dxa"/>
            <w:bottom w:w="0" w:type="dxa"/>
            <w:right w:w="108" w:type="dxa"/>
          </w:tblCellMar>
        </w:tblPrEx>
        <w:trPr>
          <w:trHeight w:val="20" w:hRule="atLeast"/>
        </w:trPr>
        <w:tc>
          <w:tcPr>
            <w:tcW w:w="1808" w:type="dxa"/>
            <w:vMerge w:val="continue"/>
            <w:tcBorders>
              <w:top w:val="double" w:color="auto" w:sz="6" w:space="0"/>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b/>
                <w:bCs/>
                <w:color w:val="000000"/>
                <w:sz w:val="21"/>
                <w:szCs w:val="21"/>
              </w:rPr>
            </w:pPr>
          </w:p>
        </w:tc>
        <w:tc>
          <w:tcPr>
            <w:tcW w:w="559" w:type="dxa"/>
            <w:vMerge w:val="continue"/>
            <w:tcBorders>
              <w:top w:val="double" w:color="auto" w:sz="6" w:space="0"/>
              <w:left w:val="single" w:color="auto" w:sz="8"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b/>
                <w:bCs/>
                <w:color w:val="000000"/>
                <w:sz w:val="21"/>
                <w:szCs w:val="21"/>
              </w:rPr>
            </w:pPr>
          </w:p>
        </w:tc>
        <w:tc>
          <w:tcPr>
            <w:tcW w:w="3445" w:type="dxa"/>
            <w:vMerge w:val="continue"/>
            <w:tcBorders>
              <w:top w:val="double" w:color="auto" w:sz="6" w:space="0"/>
              <w:left w:val="single" w:color="auto" w:sz="8"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b/>
                <w:bCs/>
                <w:color w:val="000000"/>
                <w:sz w:val="21"/>
                <w:szCs w:val="21"/>
              </w:rPr>
            </w:pP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b/>
                <w:bCs/>
                <w:color w:val="000000"/>
                <w:sz w:val="21"/>
                <w:szCs w:val="21"/>
              </w:rPr>
            </w:pPr>
            <w:r>
              <w:rPr>
                <w:rFonts w:hint="eastAsia" w:ascii="仿宋" w:hAnsi="仿宋" w:eastAsia="仿宋" w:cs="宋体"/>
                <w:b/>
                <w:bCs/>
                <w:color w:val="000000"/>
                <w:sz w:val="21"/>
                <w:szCs w:val="21"/>
              </w:rPr>
              <w:t>完成</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b/>
                <w:bCs/>
                <w:color w:val="000000"/>
                <w:sz w:val="21"/>
                <w:szCs w:val="21"/>
              </w:rPr>
            </w:pPr>
            <w:r>
              <w:rPr>
                <w:rFonts w:hint="eastAsia" w:ascii="仿宋" w:hAnsi="仿宋" w:eastAsia="仿宋" w:cs="宋体"/>
                <w:b/>
                <w:bCs/>
                <w:color w:val="000000"/>
                <w:sz w:val="21"/>
                <w:szCs w:val="21"/>
              </w:rPr>
              <w:t>目标</w:t>
            </w:r>
          </w:p>
        </w:tc>
        <w:tc>
          <w:tcPr>
            <w:tcW w:w="1130" w:type="dxa"/>
            <w:vMerge w:val="continue"/>
            <w:tcBorders>
              <w:top w:val="double" w:color="auto" w:sz="6" w:space="0"/>
              <w:left w:val="single" w:color="auto" w:sz="8" w:space="0"/>
              <w:bottom w:val="single" w:color="000000" w:sz="8" w:space="0"/>
              <w:right w:val="double" w:color="auto" w:sz="6" w:space="0"/>
            </w:tcBorders>
            <w:vAlign w:val="center"/>
          </w:tcPr>
          <w:p>
            <w:pPr>
              <w:spacing w:line="320" w:lineRule="exact"/>
              <w:ind w:firstLine="0" w:firstLineChars="0"/>
              <w:jc w:val="center"/>
              <w:rPr>
                <w:rFonts w:ascii="仿宋" w:hAnsi="仿宋" w:eastAsia="仿宋" w:cs="宋体"/>
                <w:b/>
                <w:bCs/>
                <w:color w:val="000000"/>
                <w:sz w:val="21"/>
                <w:szCs w:val="21"/>
              </w:rPr>
            </w:pPr>
          </w:p>
        </w:tc>
      </w:tr>
      <w:tr>
        <w:tblPrEx>
          <w:tblCellMar>
            <w:top w:w="0" w:type="dxa"/>
            <w:left w:w="108" w:type="dxa"/>
            <w:bottom w:w="0" w:type="dxa"/>
            <w:right w:w="108" w:type="dxa"/>
          </w:tblCellMar>
        </w:tblPrEx>
        <w:trPr>
          <w:trHeight w:val="20" w:hRule="atLeast"/>
        </w:trPr>
        <w:tc>
          <w:tcPr>
            <w:tcW w:w="1808" w:type="dxa"/>
            <w:vMerge w:val="restart"/>
            <w:tcBorders>
              <w:top w:val="nil"/>
              <w:left w:val="double" w:color="auto" w:sz="6" w:space="0"/>
              <w:bottom w:val="single" w:color="000000" w:sz="8" w:space="0"/>
              <w:right w:val="single" w:color="auto" w:sz="8" w:space="0"/>
            </w:tcBorders>
            <w:shd w:val="clear" w:color="000000" w:fill="FFFFFF"/>
            <w:vAlign w:val="center"/>
          </w:tcPr>
          <w:p>
            <w:pPr>
              <w:spacing w:line="320" w:lineRule="exact"/>
              <w:ind w:firstLine="0" w:firstLineChars="0"/>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防洪保安</w:t>
            </w: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1</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水旱灾害损失率</w:t>
            </w:r>
            <w:r>
              <w:rPr>
                <w:rFonts w:eastAsia="仿宋"/>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0.07</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eastAsia="等线"/>
                <w:color w:val="000000"/>
                <w:sz w:val="21"/>
                <w:szCs w:val="21"/>
                <w:lang w:val="en-US" w:eastAsia="zh-CN"/>
              </w:rPr>
            </w:pPr>
            <w:r>
              <w:rPr>
                <w:rFonts w:hint="eastAsia" w:eastAsia="等线"/>
                <w:color w:val="000000"/>
                <w:sz w:val="21"/>
                <w:szCs w:val="21"/>
                <w:lang w:val="en-US" w:eastAsia="zh-CN"/>
              </w:rPr>
              <w:t>≤</w:t>
            </w:r>
            <w:r>
              <w:rPr>
                <w:rFonts w:eastAsia="等线"/>
                <w:color w:val="000000"/>
                <w:sz w:val="21"/>
                <w:szCs w:val="21"/>
              </w:rPr>
              <w:t>0.3</w:t>
            </w:r>
            <w:r>
              <w:rPr>
                <w:rFonts w:hint="eastAsia" w:eastAsia="等线"/>
                <w:color w:val="000000"/>
                <w:sz w:val="21"/>
                <w:szCs w:val="21"/>
                <w:lang w:val="en-US" w:eastAsia="zh-CN"/>
              </w:rPr>
              <w:t>2</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约束性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2</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小型水库系统治理达标率（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lang w:val="en-US" w:eastAsia="zh-CN"/>
              </w:rPr>
              <w:t>≥</w:t>
            </w:r>
            <w:r>
              <w:rPr>
                <w:rFonts w:eastAsia="等线"/>
                <w:color w:val="000000"/>
                <w:sz w:val="21"/>
                <w:szCs w:val="21"/>
              </w:rPr>
              <w:t>95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restart"/>
            <w:tcBorders>
              <w:top w:val="nil"/>
              <w:left w:val="double" w:color="auto" w:sz="6" w:space="0"/>
              <w:bottom w:val="single" w:color="000000" w:sz="8" w:space="0"/>
              <w:right w:val="single" w:color="auto" w:sz="8" w:space="0"/>
            </w:tcBorders>
            <w:shd w:val="clear" w:color="000000" w:fill="FFFFFF"/>
            <w:vAlign w:val="center"/>
          </w:tcPr>
          <w:p>
            <w:pPr>
              <w:spacing w:line="320" w:lineRule="exact"/>
              <w:ind w:firstLine="0" w:firstLineChars="0"/>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水资源保障</w:t>
            </w: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3</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新增年引供水能力（万</w:t>
            </w:r>
            <w:r>
              <w:rPr>
                <w:rFonts w:eastAsia="仿宋"/>
                <w:color w:val="000000"/>
                <w:sz w:val="21"/>
                <w:szCs w:val="21"/>
              </w:rPr>
              <w:t>m</w:t>
            </w:r>
            <w:r>
              <w:rPr>
                <w:rFonts w:ascii="Calibri" w:hAnsi="Calibri" w:eastAsia="仿宋" w:cs="Calibri"/>
                <w:color w:val="000000"/>
                <w:sz w:val="21"/>
                <w:szCs w:val="21"/>
              </w:rPr>
              <w:t>³</w:t>
            </w:r>
            <w:r>
              <w:rPr>
                <w:rFonts w:hint="eastAsia" w:ascii="仿宋" w:hAnsi="仿宋" w:eastAsia="仿宋" w:cs="仿宋"/>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71</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4</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农村规模化供水人口覆盖率（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65</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≥77</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restart"/>
            <w:tcBorders>
              <w:top w:val="nil"/>
              <w:left w:val="double" w:color="auto" w:sz="6" w:space="0"/>
              <w:right w:val="single" w:color="auto" w:sz="8" w:space="0"/>
            </w:tcBorders>
            <w:shd w:val="clear" w:color="000000" w:fill="FFFFFF"/>
            <w:vAlign w:val="center"/>
          </w:tcPr>
          <w:p>
            <w:pPr>
              <w:spacing w:line="320" w:lineRule="exact"/>
              <w:ind w:firstLine="0" w:firstLineChars="0"/>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水生态环境</w:t>
            </w: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5</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水土保持率（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93</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≥93.5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continue"/>
            <w:tcBorders>
              <w:left w:val="double" w:color="auto" w:sz="6"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6</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基本水面率（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eastAsia="等线"/>
                <w:color w:val="000000"/>
                <w:sz w:val="21"/>
                <w:szCs w:val="21"/>
                <w:lang w:eastAsia="zh-CN"/>
              </w:rPr>
            </w:pPr>
            <w:r>
              <w:rPr>
                <w:rFonts w:hint="eastAsia" w:eastAsia="等线"/>
                <w:color w:val="000000"/>
                <w:sz w:val="21"/>
                <w:szCs w:val="21"/>
                <w:lang w:val="en-US" w:eastAsia="zh-CN"/>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lang w:val="en-US" w:eastAsia="zh-CN"/>
              </w:rPr>
              <w:t>≥</w:t>
            </w:r>
            <w:r>
              <w:rPr>
                <w:rFonts w:eastAsia="等线"/>
                <w:color w:val="000000"/>
                <w:sz w:val="21"/>
                <w:szCs w:val="21"/>
              </w:rPr>
              <w:t>2.04</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约束性</w:t>
            </w:r>
          </w:p>
        </w:tc>
      </w:tr>
      <w:tr>
        <w:tblPrEx>
          <w:tblCellMar>
            <w:top w:w="0" w:type="dxa"/>
            <w:left w:w="108" w:type="dxa"/>
            <w:bottom w:w="0" w:type="dxa"/>
            <w:right w:w="108" w:type="dxa"/>
          </w:tblCellMar>
        </w:tblPrEx>
        <w:trPr>
          <w:trHeight w:val="20" w:hRule="atLeast"/>
        </w:trPr>
        <w:tc>
          <w:tcPr>
            <w:tcW w:w="1808" w:type="dxa"/>
            <w:vMerge w:val="continue"/>
            <w:tcBorders>
              <w:left w:val="double" w:color="auto" w:sz="6"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7</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城乡居民</w:t>
            </w:r>
            <w:r>
              <w:rPr>
                <w:rFonts w:eastAsia="仿宋"/>
                <w:color w:val="000000"/>
                <w:sz w:val="21"/>
                <w:szCs w:val="21"/>
              </w:rPr>
              <w:t>15</w:t>
            </w:r>
            <w:r>
              <w:rPr>
                <w:rFonts w:hint="eastAsia" w:ascii="仿宋" w:hAnsi="仿宋" w:eastAsia="仿宋" w:cs="宋体"/>
                <w:color w:val="000000"/>
                <w:sz w:val="21"/>
                <w:szCs w:val="21"/>
              </w:rPr>
              <w:t>分钟亲水圈覆盖率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lang w:val="en-US" w:eastAsia="zh-CN"/>
              </w:rPr>
              <w:t>≥</w:t>
            </w:r>
            <w:r>
              <w:rPr>
                <w:rFonts w:eastAsia="等线"/>
                <w:color w:val="000000"/>
                <w:sz w:val="21"/>
                <w:szCs w:val="21"/>
              </w:rPr>
              <w:t>85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continue"/>
            <w:tcBorders>
              <w:left w:val="double" w:color="auto" w:sz="6"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bookmarkStart w:id="40" w:name="_Hlk77836200"/>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rPr>
              <w:t>8</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eastAsia="仿宋"/>
                <w:color w:val="000000"/>
                <w:sz w:val="21"/>
                <w:szCs w:val="21"/>
              </w:rPr>
              <w:t>重点河流生态基流达标率（%）</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lang w:val="en-US" w:eastAsia="zh-CN"/>
              </w:rPr>
              <w:t>≥</w:t>
            </w:r>
            <w:r>
              <w:rPr>
                <w:rFonts w:eastAsia="等线"/>
                <w:color w:val="000000"/>
                <w:sz w:val="21"/>
                <w:szCs w:val="21"/>
              </w:rPr>
              <w:t>95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eastAsia="仿宋"/>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continue"/>
            <w:tcBorders>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ascii="Times New Roman" w:hAnsi="Times New Roman" w:eastAsia="等线" w:cs="Times New Roman"/>
                <w:color w:val="000000"/>
                <w:sz w:val="21"/>
                <w:szCs w:val="21"/>
                <w:lang w:val="en-US" w:eastAsia="zh-CN" w:bidi="ar-SA"/>
              </w:rPr>
            </w:pPr>
            <w:r>
              <w:rPr>
                <w:rFonts w:hint="eastAsia" w:eastAsia="等线"/>
                <w:color w:val="000000"/>
                <w:sz w:val="21"/>
                <w:szCs w:val="21"/>
                <w:lang w:val="en-US" w:eastAsia="zh-CN"/>
              </w:rPr>
              <w:t>9</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themeColor="text1"/>
                <w:sz w:val="21"/>
                <w:szCs w:val="21"/>
                <w:lang w:val="en-US" w:eastAsia="zh-CN" w:bidi="ar-SA"/>
                <w14:textFill>
                  <w14:solidFill>
                    <w14:schemeClr w14:val="tx1"/>
                  </w14:solidFill>
                </w14:textFill>
              </w:rPr>
            </w:pPr>
            <w:r>
              <w:rPr>
                <w:rFonts w:hint="eastAsia" w:ascii="仿宋" w:hAnsi="仿宋" w:eastAsia="仿宋" w:cs="宋体"/>
                <w:color w:val="000000" w:themeColor="text1"/>
                <w:sz w:val="21"/>
                <w:szCs w:val="21"/>
                <w14:textFill>
                  <w14:solidFill>
                    <w14:schemeClr w14:val="tx1"/>
                  </w14:solidFill>
                </w14:textFill>
              </w:rPr>
              <w:t>绿色小水电创建（个）</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ascii="Times New Roman" w:hAnsi="Times New Roman" w:eastAsia="等线" w:cs="Times New Roman"/>
                <w:color w:val="000000" w:themeColor="text1"/>
                <w:sz w:val="21"/>
                <w:szCs w:val="21"/>
                <w:lang w:val="en-US" w:eastAsia="zh-CN" w:bidi="ar-SA"/>
                <w14:textFill>
                  <w14:solidFill>
                    <w14:schemeClr w14:val="tx1"/>
                  </w14:solidFill>
                </w14:textFill>
              </w:rPr>
            </w:pPr>
            <w:r>
              <w:rPr>
                <w:rFonts w:hint="eastAsia" w:eastAsia="等线"/>
                <w:color w:val="000000" w:themeColor="text1"/>
                <w:sz w:val="21"/>
                <w:szCs w:val="21"/>
                <w:lang w:val="en-US" w:eastAsia="zh-CN"/>
                <w14:textFill>
                  <w14:solidFill>
                    <w14:schemeClr w14:val="tx1"/>
                  </w14:solidFill>
                </w14:textFill>
              </w:rPr>
              <w:t>7</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ascii="Times New Roman" w:hAnsi="Times New Roman" w:eastAsia="等线" w:cs="Times New Roman"/>
                <w:color w:val="000000"/>
                <w:sz w:val="21"/>
                <w:szCs w:val="21"/>
                <w:lang w:val="en-US" w:eastAsia="zh-CN" w:bidi="ar-SA"/>
              </w:rPr>
            </w:pPr>
            <w:r>
              <w:rPr>
                <w:rFonts w:hint="eastAsia" w:eastAsia="等线"/>
                <w:color w:val="000000"/>
                <w:sz w:val="21"/>
                <w:szCs w:val="21"/>
                <w:lang w:val="en-US" w:eastAsia="zh-CN"/>
              </w:rPr>
              <w:t>15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lang w:val="en-US" w:eastAsia="zh-CN" w:bidi="ar-SA"/>
              </w:rPr>
            </w:pPr>
            <w:r>
              <w:rPr>
                <w:rFonts w:hint="eastAsia" w:ascii="仿宋" w:hAnsi="仿宋" w:eastAsia="仿宋" w:cs="宋体"/>
                <w:color w:val="000000"/>
                <w:sz w:val="21"/>
                <w:szCs w:val="21"/>
              </w:rPr>
              <w:t>预期性</w:t>
            </w:r>
          </w:p>
        </w:tc>
      </w:tr>
      <w:bookmarkEnd w:id="40"/>
      <w:tr>
        <w:tblPrEx>
          <w:tblCellMar>
            <w:top w:w="0" w:type="dxa"/>
            <w:left w:w="108" w:type="dxa"/>
            <w:bottom w:w="0" w:type="dxa"/>
            <w:right w:w="108" w:type="dxa"/>
          </w:tblCellMar>
        </w:tblPrEx>
        <w:trPr>
          <w:trHeight w:val="442" w:hRule="atLeast"/>
        </w:trPr>
        <w:tc>
          <w:tcPr>
            <w:tcW w:w="1808" w:type="dxa"/>
            <w:tcBorders>
              <w:left w:val="double" w:color="auto" w:sz="6" w:space="0"/>
              <w:bottom w:val="single" w:color="000000" w:sz="8" w:space="0"/>
              <w:right w:val="single" w:color="auto" w:sz="8" w:space="0"/>
            </w:tcBorders>
            <w:shd w:val="clear" w:color="000000" w:fill="FFFFFF"/>
            <w:vAlign w:val="center"/>
          </w:tcPr>
          <w:p>
            <w:pPr>
              <w:spacing w:line="320" w:lineRule="exact"/>
              <w:ind w:firstLine="0" w:firstLineChars="0"/>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水生态价值转换</w:t>
            </w: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10</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水利风景区提质增效（个）</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eastAsia="等线"/>
                <w:color w:val="000000"/>
                <w:sz w:val="21"/>
                <w:szCs w:val="21"/>
                <w:lang w:eastAsia="zh-CN"/>
              </w:rPr>
            </w:pPr>
            <w:r>
              <w:rPr>
                <w:rFonts w:hint="eastAsia" w:eastAsia="等线"/>
                <w:color w:val="000000"/>
                <w:sz w:val="21"/>
                <w:szCs w:val="21"/>
                <w:lang w:val="en-US" w:eastAsia="zh-CN"/>
              </w:rPr>
              <w:t>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restart"/>
            <w:tcBorders>
              <w:top w:val="nil"/>
              <w:left w:val="double" w:color="auto" w:sz="6" w:space="0"/>
              <w:bottom w:val="single" w:color="000000" w:sz="8" w:space="0"/>
              <w:right w:val="single" w:color="auto" w:sz="8" w:space="0"/>
            </w:tcBorders>
            <w:shd w:val="clear" w:color="000000" w:fill="FFFFFF"/>
            <w:vAlign w:val="center"/>
          </w:tcPr>
          <w:p>
            <w:pPr>
              <w:spacing w:line="320" w:lineRule="exact"/>
              <w:ind w:firstLine="0" w:firstLineChars="0"/>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水治理</w:t>
            </w: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highlight w:val="none"/>
                <w:lang w:val="en-US" w:eastAsia="zh-CN"/>
              </w:rPr>
            </w:pPr>
            <w:r>
              <w:rPr>
                <w:rFonts w:hint="eastAsia" w:eastAsia="等线"/>
                <w:color w:val="000000"/>
                <w:sz w:val="21"/>
                <w:szCs w:val="21"/>
                <w:highlight w:val="none"/>
                <w:lang w:val="en-US" w:eastAsia="zh-CN"/>
              </w:rPr>
              <w:t>11</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highlight w:val="none"/>
              </w:rPr>
            </w:pPr>
            <w:r>
              <w:rPr>
                <w:rFonts w:hint="eastAsia" w:ascii="仿宋" w:hAnsi="仿宋" w:eastAsia="仿宋" w:cs="宋体"/>
                <w:color w:val="000000"/>
                <w:sz w:val="21"/>
                <w:szCs w:val="21"/>
                <w:highlight w:val="none"/>
              </w:rPr>
              <w:t>年用水总量（亿</w:t>
            </w:r>
            <w:r>
              <w:rPr>
                <w:rFonts w:eastAsia="仿宋"/>
                <w:color w:val="000000"/>
                <w:sz w:val="21"/>
                <w:szCs w:val="21"/>
                <w:highlight w:val="none"/>
              </w:rPr>
              <w:t>m</w:t>
            </w:r>
            <w:r>
              <w:rPr>
                <w:rFonts w:ascii="Calibri" w:hAnsi="Calibri" w:eastAsia="仿宋" w:cs="Calibri"/>
                <w:color w:val="000000"/>
                <w:sz w:val="21"/>
                <w:szCs w:val="21"/>
                <w:highlight w:val="none"/>
              </w:rPr>
              <w:t>³</w:t>
            </w:r>
            <w:r>
              <w:rPr>
                <w:rFonts w:hint="eastAsia" w:ascii="仿宋" w:hAnsi="仿宋" w:eastAsia="仿宋" w:cs="仿宋"/>
                <w:color w:val="000000"/>
                <w:sz w:val="21"/>
                <w:szCs w:val="21"/>
                <w:highlight w:val="none"/>
              </w:rPr>
              <w:t>）</w:t>
            </w:r>
          </w:p>
        </w:tc>
        <w:tc>
          <w:tcPr>
            <w:tcW w:w="1133"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highlight w:val="none"/>
                <w:lang w:val="en-US" w:eastAsia="zh-CN"/>
              </w:rPr>
            </w:pPr>
            <w:r>
              <w:rPr>
                <w:rFonts w:eastAsia="等线"/>
                <w:color w:val="000000"/>
                <w:sz w:val="21"/>
                <w:szCs w:val="21"/>
                <w:highlight w:val="none"/>
              </w:rPr>
              <w:t>0.</w:t>
            </w:r>
            <w:r>
              <w:rPr>
                <w:rFonts w:hint="eastAsia" w:eastAsia="等线"/>
                <w:color w:val="000000"/>
                <w:sz w:val="21"/>
                <w:szCs w:val="21"/>
                <w:highlight w:val="none"/>
                <w:lang w:val="en-US" w:eastAsia="zh-CN"/>
              </w:rPr>
              <w:t>38</w:t>
            </w:r>
          </w:p>
        </w:tc>
        <w:tc>
          <w:tcPr>
            <w:tcW w:w="1139"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highlight w:val="none"/>
                <w:lang w:val="en-US" w:eastAsia="zh-CN"/>
              </w:rPr>
            </w:pPr>
            <w:r>
              <w:rPr>
                <w:rFonts w:eastAsia="等线"/>
                <w:color w:val="000000"/>
                <w:sz w:val="21"/>
                <w:szCs w:val="21"/>
                <w:highlight w:val="none"/>
              </w:rPr>
              <w:t>≤</w:t>
            </w:r>
            <w:r>
              <w:rPr>
                <w:rFonts w:hint="eastAsia" w:eastAsia="等线"/>
                <w:color w:val="000000"/>
                <w:sz w:val="21"/>
                <w:szCs w:val="21"/>
                <w:highlight w:val="none"/>
                <w:lang w:val="en-US" w:eastAsia="zh-CN"/>
              </w:rPr>
              <w:t>0.45</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highlight w:val="none"/>
              </w:rPr>
            </w:pPr>
            <w:r>
              <w:rPr>
                <w:rFonts w:hint="eastAsia" w:ascii="仿宋" w:hAnsi="仿宋" w:eastAsia="仿宋" w:cs="宋体"/>
                <w:color w:val="000000"/>
                <w:sz w:val="21"/>
                <w:szCs w:val="21"/>
                <w:highlight w:val="none"/>
              </w:rPr>
              <w:t>约束性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12</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万元</w:t>
            </w:r>
            <w:r>
              <w:rPr>
                <w:rFonts w:eastAsia="仿宋"/>
                <w:color w:val="000000"/>
                <w:sz w:val="21"/>
                <w:szCs w:val="21"/>
              </w:rPr>
              <w:t>GDP</w:t>
            </w:r>
            <w:r>
              <w:rPr>
                <w:rFonts w:hint="eastAsia" w:ascii="仿宋" w:hAnsi="仿宋" w:eastAsia="仿宋" w:cs="宋体"/>
                <w:color w:val="000000"/>
                <w:sz w:val="21"/>
                <w:szCs w:val="21"/>
              </w:rPr>
              <w:t>用水量下降率（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37</w:t>
            </w:r>
          </w:p>
        </w:tc>
        <w:tc>
          <w:tcPr>
            <w:tcW w:w="1139"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≥12</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约束性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13</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万元工业增加值用水量下降率（</w:t>
            </w:r>
            <w:r>
              <w:rPr>
                <w:rFonts w:eastAsia="仿宋"/>
                <w:color w:val="000000"/>
                <w:sz w:val="21"/>
                <w:szCs w:val="21"/>
              </w:rPr>
              <w:t>%</w:t>
            </w:r>
            <w:r>
              <w:rPr>
                <w:rFonts w:hint="eastAsia" w:ascii="仿宋" w:hAnsi="仿宋" w:eastAsia="仿宋" w:cs="宋体"/>
                <w:color w:val="000000"/>
                <w:sz w:val="21"/>
                <w:szCs w:val="21"/>
              </w:rPr>
              <w:t>）</w:t>
            </w:r>
          </w:p>
        </w:tc>
        <w:tc>
          <w:tcPr>
            <w:tcW w:w="1133"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51.2</w:t>
            </w:r>
          </w:p>
        </w:tc>
        <w:tc>
          <w:tcPr>
            <w:tcW w:w="1139"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≥6</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约束性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14</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农田灌溉水有效利用系数</w:t>
            </w:r>
          </w:p>
        </w:tc>
        <w:tc>
          <w:tcPr>
            <w:tcW w:w="1133"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eastAsia" w:eastAsia="等线"/>
                <w:color w:val="000000"/>
                <w:sz w:val="21"/>
                <w:szCs w:val="21"/>
                <w:lang w:eastAsia="zh-CN"/>
              </w:rPr>
            </w:pPr>
            <w:r>
              <w:rPr>
                <w:rFonts w:eastAsia="等线"/>
                <w:color w:val="000000"/>
                <w:sz w:val="21"/>
                <w:szCs w:val="21"/>
              </w:rPr>
              <w:t>0.58</w:t>
            </w:r>
            <w:r>
              <w:rPr>
                <w:rFonts w:hint="eastAsia" w:eastAsia="等线"/>
                <w:color w:val="000000"/>
                <w:sz w:val="21"/>
                <w:szCs w:val="21"/>
                <w:lang w:val="en-US" w:eastAsia="zh-CN"/>
              </w:rPr>
              <w:t>6</w:t>
            </w:r>
          </w:p>
        </w:tc>
        <w:tc>
          <w:tcPr>
            <w:tcW w:w="1139" w:type="dxa"/>
            <w:tcBorders>
              <w:top w:val="nil"/>
              <w:left w:val="nil"/>
              <w:bottom w:val="single" w:color="auto" w:sz="8" w:space="0"/>
              <w:right w:val="single" w:color="auto" w:sz="8" w:space="0"/>
            </w:tcBorders>
            <w:shd w:val="clear" w:color="auto" w:fill="auto"/>
            <w:noWrap/>
            <w:vAlign w:val="center"/>
          </w:tcPr>
          <w:p>
            <w:pPr>
              <w:spacing w:line="320" w:lineRule="exact"/>
              <w:ind w:firstLine="0" w:firstLineChars="0"/>
              <w:jc w:val="center"/>
              <w:rPr>
                <w:rFonts w:hint="default" w:eastAsia="等线"/>
                <w:color w:val="000000"/>
                <w:sz w:val="21"/>
                <w:szCs w:val="21"/>
                <w:lang w:val="en-US" w:eastAsia="zh-CN"/>
              </w:rPr>
            </w:pPr>
            <w:r>
              <w:rPr>
                <w:rFonts w:eastAsia="等线"/>
                <w:color w:val="000000"/>
                <w:sz w:val="21"/>
                <w:szCs w:val="21"/>
              </w:rPr>
              <w:t>0.</w:t>
            </w:r>
            <w:r>
              <w:rPr>
                <w:rFonts w:hint="eastAsia" w:eastAsia="等线"/>
                <w:color w:val="000000"/>
                <w:sz w:val="21"/>
                <w:szCs w:val="21"/>
                <w:lang w:val="en-US" w:eastAsia="zh-CN"/>
              </w:rPr>
              <w:t>59</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约束性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15</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bookmarkStart w:id="41" w:name="RANGE!C17"/>
            <w:r>
              <w:rPr>
                <w:rFonts w:hint="eastAsia" w:ascii="仿宋" w:hAnsi="仿宋" w:eastAsia="仿宋" w:cs="宋体"/>
                <w:color w:val="000000"/>
                <w:sz w:val="21"/>
                <w:szCs w:val="21"/>
              </w:rPr>
              <w:t>水事务智能化应用场景覆盖率（</w:t>
            </w:r>
            <w:r>
              <w:rPr>
                <w:rFonts w:eastAsia="仿宋"/>
                <w:color w:val="000000"/>
                <w:sz w:val="21"/>
                <w:szCs w:val="21"/>
              </w:rPr>
              <w:t>%</w:t>
            </w:r>
            <w:r>
              <w:rPr>
                <w:rFonts w:hint="eastAsia" w:ascii="仿宋" w:hAnsi="仿宋" w:eastAsia="仿宋" w:cs="宋体"/>
                <w:color w:val="000000"/>
                <w:sz w:val="21"/>
                <w:szCs w:val="21"/>
              </w:rPr>
              <w:t>）</w:t>
            </w:r>
            <w:bookmarkEnd w:id="41"/>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lang w:val="en-US" w:eastAsia="zh-CN"/>
              </w:rPr>
              <w:t>≥</w:t>
            </w:r>
            <w:r>
              <w:rPr>
                <w:rFonts w:eastAsia="等线"/>
                <w:color w:val="000000"/>
                <w:sz w:val="21"/>
                <w:szCs w:val="21"/>
              </w:rPr>
              <w:t>60</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default" w:eastAsia="等线"/>
                <w:color w:val="000000"/>
                <w:sz w:val="21"/>
                <w:szCs w:val="21"/>
                <w:lang w:val="en-US" w:eastAsia="zh-CN"/>
              </w:rPr>
            </w:pPr>
            <w:r>
              <w:rPr>
                <w:rFonts w:hint="eastAsia" w:eastAsia="等线"/>
                <w:color w:val="000000"/>
                <w:sz w:val="21"/>
                <w:szCs w:val="21"/>
                <w:lang w:val="en-US" w:eastAsia="zh-CN"/>
              </w:rPr>
              <w:t>16</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eastAsia="仿宋"/>
                <w:color w:val="000000"/>
                <w:sz w:val="21"/>
                <w:szCs w:val="21"/>
              </w:rPr>
              <w:t>重要河湖水域岸线监管率（%）</w:t>
            </w:r>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hint="eastAsia" w:eastAsia="等线"/>
                <w:color w:val="000000"/>
                <w:sz w:val="21"/>
                <w:szCs w:val="21"/>
                <w:lang w:val="en-US" w:eastAsia="zh-CN"/>
              </w:rPr>
              <w:t>≥</w:t>
            </w:r>
            <w:r>
              <w:rPr>
                <w:rFonts w:eastAsia="等线"/>
                <w:color w:val="000000"/>
                <w:sz w:val="21"/>
                <w:szCs w:val="21"/>
              </w:rPr>
              <w:t>90</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eastAsia="仿宋"/>
                <w:color w:val="000000"/>
                <w:sz w:val="21"/>
                <w:szCs w:val="21"/>
              </w:rPr>
              <w:t>约束性</w:t>
            </w:r>
          </w:p>
        </w:tc>
      </w:tr>
      <w:tr>
        <w:tblPrEx>
          <w:tblCellMar>
            <w:top w:w="0" w:type="dxa"/>
            <w:left w:w="108" w:type="dxa"/>
            <w:bottom w:w="0" w:type="dxa"/>
            <w:right w:w="108" w:type="dxa"/>
          </w:tblCellMar>
        </w:tblPrEx>
        <w:trPr>
          <w:trHeight w:val="20" w:hRule="atLeast"/>
        </w:trPr>
        <w:tc>
          <w:tcPr>
            <w:tcW w:w="1808" w:type="dxa"/>
            <w:vMerge w:val="continue"/>
            <w:tcBorders>
              <w:top w:val="nil"/>
              <w:left w:val="double" w:color="auto" w:sz="6" w:space="0"/>
              <w:bottom w:val="single" w:color="000000" w:sz="8" w:space="0"/>
              <w:right w:val="single" w:color="auto" w:sz="8" w:space="0"/>
            </w:tcBorders>
            <w:vAlign w:val="center"/>
          </w:tcPr>
          <w:p>
            <w:pPr>
              <w:spacing w:line="320" w:lineRule="exact"/>
              <w:ind w:firstLine="0" w:firstLineChars="0"/>
              <w:jc w:val="center"/>
              <w:rPr>
                <w:rFonts w:ascii="仿宋" w:hAnsi="仿宋" w:eastAsia="仿宋" w:cs="宋体"/>
                <w:color w:val="000000"/>
                <w:sz w:val="21"/>
                <w:szCs w:val="21"/>
              </w:rPr>
            </w:pPr>
          </w:p>
        </w:tc>
        <w:tc>
          <w:tcPr>
            <w:tcW w:w="55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hint="eastAsia" w:eastAsia="等线"/>
                <w:color w:val="000000"/>
                <w:sz w:val="21"/>
                <w:szCs w:val="21"/>
                <w:lang w:eastAsia="zh-CN"/>
              </w:rPr>
            </w:pPr>
            <w:r>
              <w:rPr>
                <w:rFonts w:eastAsia="等线"/>
                <w:color w:val="000000"/>
                <w:sz w:val="21"/>
                <w:szCs w:val="21"/>
              </w:rPr>
              <w:t>1</w:t>
            </w:r>
            <w:r>
              <w:rPr>
                <w:rFonts w:hint="eastAsia" w:eastAsia="等线"/>
                <w:color w:val="000000"/>
                <w:sz w:val="21"/>
                <w:szCs w:val="21"/>
                <w:lang w:val="en-US" w:eastAsia="zh-CN"/>
              </w:rPr>
              <w:t>7</w:t>
            </w:r>
          </w:p>
        </w:tc>
        <w:tc>
          <w:tcPr>
            <w:tcW w:w="3445"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bookmarkStart w:id="42" w:name="RANGE!C18"/>
            <w:r>
              <w:rPr>
                <w:rFonts w:hint="eastAsia" w:ascii="仿宋" w:hAnsi="仿宋" w:eastAsia="仿宋" w:cs="宋体"/>
                <w:color w:val="000000"/>
                <w:sz w:val="21"/>
                <w:szCs w:val="21"/>
              </w:rPr>
              <w:t>中型水库安全监测自动化覆盖率</w:t>
            </w:r>
            <w:r>
              <w:rPr>
                <w:rFonts w:eastAsia="仿宋"/>
                <w:color w:val="000000"/>
                <w:sz w:val="21"/>
                <w:szCs w:val="21"/>
              </w:rPr>
              <w:t>%</w:t>
            </w:r>
            <w:r>
              <w:rPr>
                <w:rFonts w:hint="eastAsia" w:ascii="仿宋" w:hAnsi="仿宋" w:eastAsia="仿宋" w:cs="宋体"/>
                <w:color w:val="000000"/>
                <w:sz w:val="21"/>
                <w:szCs w:val="21"/>
              </w:rPr>
              <w:t>）</w:t>
            </w:r>
            <w:bookmarkEnd w:id="42"/>
          </w:p>
        </w:tc>
        <w:tc>
          <w:tcPr>
            <w:tcW w:w="1133"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w:t>
            </w:r>
          </w:p>
        </w:tc>
        <w:tc>
          <w:tcPr>
            <w:tcW w:w="1139" w:type="dxa"/>
            <w:tcBorders>
              <w:top w:val="nil"/>
              <w:left w:val="nil"/>
              <w:bottom w:val="single" w:color="auto" w:sz="8" w:space="0"/>
              <w:right w:val="single" w:color="auto" w:sz="8" w:space="0"/>
            </w:tcBorders>
            <w:shd w:val="clear" w:color="000000" w:fill="FFFFFF"/>
            <w:vAlign w:val="center"/>
          </w:tcPr>
          <w:p>
            <w:pPr>
              <w:spacing w:line="320" w:lineRule="exact"/>
              <w:ind w:firstLine="0" w:firstLineChars="0"/>
              <w:jc w:val="center"/>
              <w:rPr>
                <w:rFonts w:eastAsia="等线"/>
                <w:color w:val="000000"/>
                <w:sz w:val="21"/>
                <w:szCs w:val="21"/>
              </w:rPr>
            </w:pPr>
            <w:r>
              <w:rPr>
                <w:rFonts w:eastAsia="等线"/>
                <w:color w:val="000000"/>
                <w:sz w:val="21"/>
                <w:szCs w:val="21"/>
              </w:rPr>
              <w:t>100</w:t>
            </w:r>
          </w:p>
        </w:tc>
        <w:tc>
          <w:tcPr>
            <w:tcW w:w="1130" w:type="dxa"/>
            <w:tcBorders>
              <w:top w:val="nil"/>
              <w:left w:val="nil"/>
              <w:bottom w:val="single" w:color="auto" w:sz="8" w:space="0"/>
              <w:right w:val="double" w:color="auto" w:sz="6" w:space="0"/>
            </w:tcBorders>
            <w:shd w:val="clear" w:color="000000" w:fill="FFFFFF"/>
            <w:vAlign w:val="center"/>
          </w:tcPr>
          <w:p>
            <w:pPr>
              <w:spacing w:line="320" w:lineRule="exact"/>
              <w:ind w:firstLine="0" w:firstLineChars="0"/>
              <w:jc w:val="center"/>
              <w:rPr>
                <w:rFonts w:ascii="仿宋" w:hAnsi="仿宋" w:eastAsia="仿宋" w:cs="宋体"/>
                <w:color w:val="000000"/>
                <w:sz w:val="21"/>
                <w:szCs w:val="21"/>
              </w:rPr>
            </w:pPr>
            <w:r>
              <w:rPr>
                <w:rFonts w:hint="eastAsia" w:ascii="仿宋" w:hAnsi="仿宋" w:eastAsia="仿宋" w:cs="宋体"/>
                <w:color w:val="000000"/>
                <w:sz w:val="21"/>
                <w:szCs w:val="21"/>
              </w:rPr>
              <w:t>预期性</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0" w:firstLineChars="0"/>
              <w:jc w:val="left"/>
              <w:rPr>
                <w:rFonts w:ascii="仿宋" w:hAnsi="仿宋" w:eastAsia="仿宋" w:cs="宋体"/>
                <w:color w:val="000000"/>
                <w:sz w:val="21"/>
                <w:szCs w:val="21"/>
              </w:rPr>
            </w:pPr>
            <w:r>
              <w:rPr>
                <w:rFonts w:hint="eastAsia" w:ascii="仿宋" w:hAnsi="仿宋" w:eastAsia="仿宋" w:cs="宋体"/>
                <w:color w:val="000000"/>
                <w:sz w:val="21"/>
                <w:szCs w:val="21"/>
              </w:rPr>
              <w:t>注：1.水旱灾害损失率：指水旱灾害造成的直接经济损失占同期GDP的比例，</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2.小型水库系统治理达标率：系统治理达标的小型水库数量与总数的比值。</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3 新增年引供水能力：新增年供水能力包括新建工程增加的供水能力和现有工程通过加固、配套、挖潜、改造和扩建等增加的年引供水能力。</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4</w:t>
            </w:r>
            <w:r>
              <w:rPr>
                <w:rFonts w:ascii="仿宋" w:hAnsi="仿宋" w:eastAsia="仿宋" w:cs="宋体"/>
                <w:color w:val="000000"/>
                <w:sz w:val="21"/>
                <w:szCs w:val="21"/>
              </w:rPr>
              <w:t xml:space="preserve"> </w:t>
            </w:r>
            <w:r>
              <w:rPr>
                <w:rFonts w:hint="eastAsia" w:ascii="仿宋" w:hAnsi="仿宋" w:eastAsia="仿宋" w:cs="宋体"/>
                <w:color w:val="000000"/>
                <w:sz w:val="21"/>
                <w:szCs w:val="21"/>
              </w:rPr>
              <w:t>农村规模化供水人口覆盖率：农村规模化供水人口占农村总人口的比例。</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5 水土保持率：区域内水土保持状况良好的面积（非水土流失面积）占国土面积的比例。</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6 基本水面率：一定区域范围内承载水域功能的区域面积占区域总面积的比率。</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7 城乡居民15分钟亲水圈普及率：水域周边15分钟行程覆盖的居住用地占所有居住用地的比例。</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8</w:t>
            </w:r>
            <w:r>
              <w:rPr>
                <w:rFonts w:hint="eastAsia" w:eastAsia="仿宋"/>
                <w:sz w:val="21"/>
                <w:szCs w:val="21"/>
              </w:rPr>
              <w:t>重点河流基本生态流量达标率：达到生态基流考核要求的重点河湖控制断面数量占重点河流控制断面总数量的比例。重点河湖是指纳入生态流量管控的河流。</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lang w:val="en-US" w:eastAsia="zh-CN"/>
              </w:rPr>
              <w:t xml:space="preserve">12 </w:t>
            </w:r>
            <w:r>
              <w:rPr>
                <w:rFonts w:hint="eastAsia" w:ascii="仿宋" w:hAnsi="仿宋" w:eastAsia="仿宋" w:cs="宋体"/>
                <w:color w:val="000000"/>
                <w:sz w:val="21"/>
                <w:szCs w:val="21"/>
              </w:rPr>
              <w:t>万元GDP用水量和万元工业增加值用水量下降率：2</w:t>
            </w:r>
            <w:r>
              <w:rPr>
                <w:rFonts w:ascii="仿宋" w:hAnsi="仿宋" w:eastAsia="仿宋" w:cs="宋体"/>
                <w:color w:val="000000"/>
                <w:sz w:val="21"/>
                <w:szCs w:val="21"/>
              </w:rPr>
              <w:t>025</w:t>
            </w:r>
            <w:r>
              <w:rPr>
                <w:rFonts w:hint="eastAsia" w:ascii="仿宋" w:hAnsi="仿宋" w:eastAsia="仿宋" w:cs="宋体"/>
                <w:color w:val="000000"/>
                <w:sz w:val="21"/>
                <w:szCs w:val="21"/>
              </w:rPr>
              <w:t>年较2</w:t>
            </w:r>
            <w:r>
              <w:rPr>
                <w:rFonts w:ascii="仿宋" w:hAnsi="仿宋" w:eastAsia="仿宋" w:cs="宋体"/>
                <w:color w:val="000000"/>
                <w:sz w:val="21"/>
                <w:szCs w:val="21"/>
              </w:rPr>
              <w:t>020</w:t>
            </w:r>
            <w:r>
              <w:rPr>
                <w:rFonts w:hint="eastAsia" w:ascii="仿宋" w:hAnsi="仿宋" w:eastAsia="仿宋" w:cs="宋体"/>
                <w:color w:val="000000"/>
                <w:sz w:val="21"/>
                <w:szCs w:val="21"/>
              </w:rPr>
              <w:t>年下降率。</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 xml:space="preserve">5 </w:t>
            </w:r>
            <w:r>
              <w:rPr>
                <w:rFonts w:hint="eastAsia" w:ascii="仿宋" w:hAnsi="仿宋" w:eastAsia="仿宋" w:cs="宋体"/>
                <w:color w:val="000000"/>
                <w:sz w:val="21"/>
                <w:szCs w:val="21"/>
              </w:rPr>
              <w:t>水事务智能化应用场景覆盖率：指水利数字化改革六大核心业务中建设综合应用的比例。</w:t>
            </w:r>
          </w:p>
        </w:tc>
      </w:tr>
      <w:tr>
        <w:tblPrEx>
          <w:tblCellMar>
            <w:top w:w="0" w:type="dxa"/>
            <w:left w:w="108" w:type="dxa"/>
            <w:bottom w:w="0" w:type="dxa"/>
            <w:right w:w="108" w:type="dxa"/>
          </w:tblCellMar>
        </w:tblPrEx>
        <w:trPr>
          <w:trHeight w:val="20" w:hRule="atLeast"/>
        </w:trPr>
        <w:tc>
          <w:tcPr>
            <w:tcW w:w="9214" w:type="dxa"/>
            <w:gridSpan w:val="6"/>
            <w:tcBorders>
              <w:top w:val="nil"/>
              <w:left w:val="double" w:color="auto" w:sz="6" w:space="0"/>
              <w:bottom w:val="nil"/>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6</w:t>
            </w:r>
            <w:r>
              <w:rPr>
                <w:rFonts w:hint="eastAsia" w:ascii="仿宋" w:hAnsi="仿宋" w:eastAsia="仿宋" w:cs="宋体"/>
                <w:color w:val="000000"/>
                <w:sz w:val="21"/>
                <w:szCs w:val="21"/>
              </w:rPr>
              <w:t xml:space="preserve"> </w:t>
            </w:r>
            <w:r>
              <w:rPr>
                <w:rFonts w:hint="eastAsia" w:eastAsia="仿宋"/>
                <w:sz w:val="21"/>
                <w:szCs w:val="21"/>
              </w:rPr>
              <w:t>重要河湖水域岸线监管率：划定了河湖水域岸线管理范围、明确了岸线功能分区和管理要求的重要河湖长度占重要河湖总长度的比率</w:t>
            </w:r>
          </w:p>
        </w:tc>
      </w:tr>
      <w:tr>
        <w:tblPrEx>
          <w:tblCellMar>
            <w:top w:w="0" w:type="dxa"/>
            <w:left w:w="108" w:type="dxa"/>
            <w:bottom w:w="0" w:type="dxa"/>
            <w:right w:w="108" w:type="dxa"/>
          </w:tblCellMar>
        </w:tblPrEx>
        <w:trPr>
          <w:trHeight w:val="227" w:hRule="atLeast"/>
        </w:trPr>
        <w:tc>
          <w:tcPr>
            <w:tcW w:w="9214" w:type="dxa"/>
            <w:gridSpan w:val="6"/>
            <w:tcBorders>
              <w:top w:val="nil"/>
              <w:left w:val="double" w:color="auto" w:sz="6" w:space="0"/>
              <w:bottom w:val="double" w:color="auto" w:sz="6" w:space="0"/>
              <w:right w:val="double" w:color="000000" w:sz="6" w:space="0"/>
            </w:tcBorders>
            <w:shd w:val="clear" w:color="000000" w:fill="FFFFFF"/>
            <w:vAlign w:val="center"/>
          </w:tcPr>
          <w:p>
            <w:pPr>
              <w:spacing w:line="320" w:lineRule="exact"/>
              <w:ind w:firstLine="420"/>
              <w:jc w:val="left"/>
              <w:rPr>
                <w:rFonts w:ascii="仿宋" w:hAnsi="仿宋" w:eastAsia="仿宋" w:cs="宋体"/>
                <w:color w:val="000000"/>
                <w:sz w:val="21"/>
                <w:szCs w:val="21"/>
              </w:rPr>
            </w:pPr>
          </w:p>
        </w:tc>
      </w:tr>
    </w:tbl>
    <w:p>
      <w:pPr>
        <w:ind w:firstLine="482"/>
        <w:jc w:val="center"/>
        <w:rPr>
          <w:rFonts w:ascii="Times" w:hAnsi="Times"/>
          <w:b w:val="0"/>
          <w:bCs/>
          <w:color w:val="000000" w:themeColor="text1"/>
          <w:highlight w:val="none"/>
          <w14:textFill>
            <w14:solidFill>
              <w14:schemeClr w14:val="tx1"/>
            </w14:solidFill>
          </w14:textFill>
        </w:rPr>
      </w:pPr>
    </w:p>
    <w:p>
      <w:pPr>
        <w:ind w:firstLine="482"/>
        <w:jc w:val="center"/>
        <w:rPr>
          <w:rFonts w:ascii="Times" w:hAnsi="Times"/>
          <w:b w:val="0"/>
          <w:bCs/>
          <w:color w:val="000000" w:themeColor="text1"/>
          <w:highlight w:val="none"/>
          <w14:textFill>
            <w14:solidFill>
              <w14:schemeClr w14:val="tx1"/>
            </w14:solidFill>
          </w14:textFill>
        </w:rPr>
      </w:pPr>
    </w:p>
    <w:p>
      <w:pPr>
        <w:adjustRightInd w:val="0"/>
        <w:snapToGrid w:val="0"/>
        <w:ind w:firstLine="0" w:firstLineChars="0"/>
        <w:rPr>
          <w:color w:val="000000" w:themeColor="text1"/>
          <w:sz w:val="21"/>
          <w:szCs w:val="21"/>
          <w14:textFill>
            <w14:solidFill>
              <w14:schemeClr w14:val="tx1"/>
            </w14:solidFill>
          </w14:textFill>
        </w:rPr>
      </w:pPr>
    </w:p>
    <w:p>
      <w:pPr>
        <w:ind w:firstLine="480"/>
        <w:rPr>
          <w:rFonts w:ascii="仿宋" w:hAnsi="仿宋" w:eastAsia="仿宋" w:cs="仿宋"/>
          <w:color w:val="000000" w:themeColor="text1"/>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cols w:space="720" w:num="1"/>
          <w:docGrid w:linePitch="381" w:charSpace="0"/>
        </w:sectPr>
      </w:pPr>
    </w:p>
    <w:p>
      <w:pPr>
        <w:pStyle w:val="3"/>
        <w:spacing w:before="120" w:after="120"/>
        <w:rPr>
          <w:rFonts w:hint="default" w:ascii="仿宋" w:hAnsi="仿宋" w:eastAsia="仿宋" w:cs="仿宋"/>
          <w:color w:val="000000" w:themeColor="text1"/>
          <w:lang w:val="en-US" w:eastAsia="zh-CN"/>
          <w14:textFill>
            <w14:solidFill>
              <w14:schemeClr w14:val="tx1"/>
            </w14:solidFill>
          </w14:textFill>
        </w:rPr>
      </w:pPr>
      <w:bookmarkStart w:id="43" w:name="_Toc14362"/>
      <w:bookmarkStart w:id="44" w:name="_Toc16412"/>
      <w:r>
        <w:rPr>
          <w:rFonts w:hint="eastAsia" w:ascii="仿宋" w:hAnsi="仿宋" w:eastAsia="仿宋" w:cs="仿宋"/>
          <w:color w:val="000000" w:themeColor="text1"/>
          <w14:textFill>
            <w14:solidFill>
              <w14:schemeClr w14:val="tx1"/>
            </w14:solidFill>
          </w14:textFill>
        </w:rPr>
        <w:t>三、</w:t>
      </w:r>
      <w:bookmarkEnd w:id="43"/>
      <w:r>
        <w:rPr>
          <w:rFonts w:hint="eastAsia" w:ascii="仿宋" w:hAnsi="仿宋" w:eastAsia="仿宋" w:cs="仿宋"/>
          <w:color w:val="000000" w:themeColor="text1"/>
          <w:lang w:val="en-US" w:eastAsia="zh-CN"/>
          <w14:textFill>
            <w14:solidFill>
              <w14:schemeClr w14:val="tx1"/>
            </w14:solidFill>
          </w14:textFill>
        </w:rPr>
        <w:t>主要任务</w:t>
      </w:r>
      <w:bookmarkEnd w:id="44"/>
    </w:p>
    <w:p>
      <w:pPr>
        <w:ind w:firstLine="600"/>
        <w:rPr>
          <w:rFonts w:hint="eastAsia" w:ascii="仿宋" w:hAnsi="仿宋" w:eastAsia="仿宋" w:cs="仿宋"/>
          <w:color w:val="000000" w:themeColor="text1"/>
          <w:sz w:val="30"/>
          <w:szCs w:val="30"/>
          <w14:textFill>
            <w14:solidFill>
              <w14:schemeClr w14:val="tx1"/>
            </w14:solidFill>
          </w14:textFill>
        </w:rPr>
      </w:pPr>
      <w:bookmarkStart w:id="45" w:name="_Hlk50647941"/>
      <w:r>
        <w:rPr>
          <w:rFonts w:hint="eastAsia" w:ascii="仿宋" w:hAnsi="仿宋" w:eastAsia="仿宋" w:cs="仿宋"/>
          <w:color w:val="000000" w:themeColor="text1"/>
          <w:sz w:val="30"/>
          <w:szCs w:val="30"/>
          <w14:textFill>
            <w14:solidFill>
              <w14:schemeClr w14:val="tx1"/>
            </w14:solidFill>
          </w14:textFill>
        </w:rPr>
        <w:t>围绕“</w:t>
      </w:r>
      <w:r>
        <w:rPr>
          <w:rFonts w:hint="eastAsia" w:ascii="仿宋" w:hAnsi="仿宋" w:eastAsia="仿宋" w:cs="仿宋"/>
          <w:color w:val="000000" w:themeColor="text1"/>
          <w:sz w:val="30"/>
          <w:szCs w:val="30"/>
          <w:lang w:val="en-US" w:eastAsia="zh-CN"/>
          <w14:textFill>
            <w14:solidFill>
              <w14:schemeClr w14:val="tx1"/>
            </w14:solidFill>
          </w14:textFill>
        </w:rPr>
        <w:t>一城一湖一梯田</w:t>
      </w:r>
      <w:r>
        <w:rPr>
          <w:rFonts w:hint="eastAsia" w:ascii="仿宋" w:hAnsi="仿宋" w:eastAsia="仿宋" w:cs="仿宋"/>
          <w:color w:val="000000" w:themeColor="text1"/>
          <w:sz w:val="30"/>
          <w:szCs w:val="30"/>
          <w14:textFill>
            <w14:solidFill>
              <w14:schemeClr w14:val="tx1"/>
            </w14:solidFill>
          </w14:textFill>
        </w:rPr>
        <w:t>”的城镇发展空间布局，坚持问题导向、目标导向、效果导向，结合重大专题研究、相关专业规划和工作计划，围绕高标准建设水利基础设施网络、以高效能推进水治理能力现代化、高效益发展水经济，分析制定“十四五”期间的工程建设任务和管理改革任务，明确实施计划。</w:t>
      </w:r>
    </w:p>
    <w:p>
      <w:pPr>
        <w:pStyle w:val="4"/>
        <w:ind w:firstLine="602"/>
        <w:rPr>
          <w:rFonts w:hint="eastAsia" w:ascii="仿宋" w:hAnsi="仿宋" w:cs="仿宋"/>
          <w:color w:val="000000" w:themeColor="text1"/>
          <w:szCs w:val="30"/>
          <w14:textFill>
            <w14:solidFill>
              <w14:schemeClr w14:val="tx1"/>
            </w14:solidFill>
          </w14:textFill>
        </w:rPr>
      </w:pPr>
      <w:bookmarkStart w:id="46" w:name="_Toc65504083"/>
      <w:bookmarkStart w:id="47" w:name="_Toc4060"/>
      <w:bookmarkStart w:id="48" w:name="_Toc20013"/>
      <w:r>
        <w:rPr>
          <w:rFonts w:hint="eastAsia" w:ascii="仿宋" w:hAnsi="仿宋" w:cs="仿宋"/>
          <w:color w:val="000000" w:themeColor="text1"/>
          <w:szCs w:val="30"/>
          <w:lang w:val="en-US" w:eastAsia="zh-CN"/>
          <w14:textFill>
            <w14:solidFill>
              <w14:schemeClr w14:val="tx1"/>
            </w14:solidFill>
          </w14:textFill>
        </w:rPr>
        <w:t>3.1</w:t>
      </w:r>
      <w:r>
        <w:rPr>
          <w:rFonts w:hint="eastAsia" w:ascii="仿宋" w:hAnsi="仿宋" w:cs="仿宋"/>
          <w:color w:val="000000" w:themeColor="text1"/>
          <w:szCs w:val="30"/>
          <w14:textFill>
            <w14:solidFill>
              <w14:schemeClr w14:val="tx1"/>
            </w14:solidFill>
          </w14:textFill>
        </w:rPr>
        <w:t>高标准建设水利基础施网络</w:t>
      </w:r>
      <w:bookmarkEnd w:id="46"/>
      <w:bookmarkEnd w:id="47"/>
      <w:bookmarkEnd w:id="48"/>
    </w:p>
    <w:p>
      <w:pPr>
        <w:ind w:firstLine="6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“十四五”期间，按照“建设一批、储备一批、谋划一批”的思路，着力推进</w:t>
      </w:r>
      <w:r>
        <w:rPr>
          <w:rFonts w:hint="eastAsia" w:ascii="仿宋" w:hAnsi="仿宋" w:eastAsia="仿宋" w:cs="仿宋"/>
          <w:color w:val="000000" w:themeColor="text1"/>
          <w:sz w:val="30"/>
          <w:szCs w:val="30"/>
          <w:lang w:val="en-US" w:eastAsia="zh-CN"/>
          <w14:textFill>
            <w14:solidFill>
              <w14:schemeClr w14:val="tx1"/>
            </w14:solidFill>
          </w14:textFill>
        </w:rPr>
        <w:t>防洪保安</w:t>
      </w:r>
      <w:r>
        <w:rPr>
          <w:rFonts w:hint="eastAsia" w:ascii="仿宋" w:hAnsi="仿宋" w:eastAsia="仿宋" w:cs="仿宋"/>
          <w:color w:val="000000" w:themeColor="text1"/>
          <w:sz w:val="30"/>
          <w:szCs w:val="30"/>
          <w14:textFill>
            <w14:solidFill>
              <w14:schemeClr w14:val="tx1"/>
            </w14:solidFill>
          </w14:textFill>
        </w:rPr>
        <w:t>、水资源</w:t>
      </w:r>
      <w:r>
        <w:rPr>
          <w:rFonts w:hint="eastAsia" w:ascii="仿宋" w:hAnsi="仿宋" w:eastAsia="仿宋" w:cs="仿宋"/>
          <w:color w:val="000000" w:themeColor="text1"/>
          <w:sz w:val="30"/>
          <w:szCs w:val="30"/>
          <w:lang w:val="en-US" w:eastAsia="zh-CN"/>
          <w14:textFill>
            <w14:solidFill>
              <w14:schemeClr w14:val="tx1"/>
            </w14:solidFill>
          </w14:textFill>
        </w:rPr>
        <w:t>保障</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水生态环境以及智慧水利</w:t>
      </w:r>
      <w:r>
        <w:rPr>
          <w:rFonts w:hint="eastAsia" w:ascii="仿宋" w:hAnsi="仿宋" w:eastAsia="仿宋" w:cs="仿宋"/>
          <w:color w:val="000000" w:themeColor="text1"/>
          <w:sz w:val="30"/>
          <w:szCs w:val="30"/>
          <w14:textFill>
            <w14:solidFill>
              <w14:schemeClr w14:val="tx1"/>
            </w14:solidFill>
          </w14:textFill>
        </w:rPr>
        <w:t>，补齐工程短板，高标准建设水利基础设施网络，构建</w:t>
      </w:r>
      <w:r>
        <w:rPr>
          <w:rFonts w:hint="eastAsia" w:ascii="仿宋" w:hAnsi="仿宋" w:eastAsia="仿宋" w:cs="仿宋"/>
          <w:color w:val="000000" w:themeColor="text1"/>
          <w:sz w:val="30"/>
          <w:szCs w:val="30"/>
          <w:lang w:val="en-US" w:eastAsia="zh-CN"/>
          <w14:textFill>
            <w14:solidFill>
              <w14:schemeClr w14:val="tx1"/>
            </w14:solidFill>
          </w14:textFill>
        </w:rPr>
        <w:t>云和水利综合保障体系</w:t>
      </w:r>
      <w:r>
        <w:rPr>
          <w:rFonts w:hint="eastAsia" w:ascii="仿宋" w:hAnsi="仿宋" w:eastAsia="仿宋" w:cs="仿宋"/>
          <w:color w:val="000000" w:themeColor="text1"/>
          <w:sz w:val="30"/>
          <w:szCs w:val="30"/>
          <w14:textFill>
            <w14:solidFill>
              <w14:schemeClr w14:val="tx1"/>
            </w14:solidFill>
          </w14:textFill>
        </w:rPr>
        <w:t>。</w:t>
      </w:r>
    </w:p>
    <w:bookmarkEnd w:id="45"/>
    <w:p>
      <w:pPr>
        <w:pStyle w:val="5"/>
        <w:ind w:firstLine="602"/>
        <w:rPr>
          <w:rFonts w:hint="eastAsia"/>
          <w:color w:val="000000" w:themeColor="text1"/>
          <w:lang w:val="en-US" w:eastAsia="zh-CN"/>
          <w14:textFill>
            <w14:solidFill>
              <w14:schemeClr w14:val="tx1"/>
            </w14:solidFill>
          </w14:textFill>
        </w:rPr>
      </w:pPr>
      <w:bookmarkStart w:id="49" w:name="_Toc27043"/>
      <w:bookmarkStart w:id="50" w:name="_Hlk54192358"/>
      <w:bookmarkStart w:id="51" w:name="_Hlk50647970"/>
      <w:r>
        <w:rPr>
          <w:rFonts w:hint="eastAsia"/>
          <w:color w:val="000000" w:themeColor="text1"/>
          <w:lang w:val="en-US" w:eastAsia="zh-CN"/>
          <w14:textFill>
            <w14:solidFill>
              <w14:schemeClr w14:val="tx1"/>
            </w14:solidFill>
          </w14:textFill>
        </w:rPr>
        <w:t xml:space="preserve">3.1.1 </w:t>
      </w:r>
      <w:bookmarkEnd w:id="49"/>
      <w:r>
        <w:rPr>
          <w:rFonts w:hint="eastAsia"/>
          <w:color w:val="000000" w:themeColor="text1"/>
          <w:lang w:val="en-US" w:eastAsia="zh-CN"/>
          <w14:textFill>
            <w14:solidFill>
              <w14:schemeClr w14:val="tx1"/>
            </w14:solidFill>
          </w14:textFill>
        </w:rPr>
        <w:t>完善防洪格局，构建高标准防洪保安体系</w:t>
      </w:r>
    </w:p>
    <w:p>
      <w:pPr>
        <w:ind w:firstLine="6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流域防洪遵循“蓄、防、疏、泄”相结合原则，适度调整流域空间布局，建设水库增能保安工程，统筹考虑流域洪水出路、洪水资源化利用和生态功能维护，以防洪安全为基础，规划新建、扩容一批水库工程，提升流域的“上蓄”能力；开展水库常态化安全鉴定，及时消除安全隐患；</w:t>
      </w:r>
      <w:r>
        <w:rPr>
          <w:rFonts w:hint="eastAsia" w:ascii="仿宋" w:hAnsi="仿宋" w:eastAsia="仿宋" w:cs="仿宋"/>
          <w:color w:val="000000" w:themeColor="text1"/>
          <w:sz w:val="30"/>
          <w:szCs w:val="30"/>
          <w:lang w:val="en-US" w:eastAsia="zh-CN"/>
          <w14:textFill>
            <w14:solidFill>
              <w14:schemeClr w14:val="tx1"/>
            </w14:solidFill>
          </w14:textFill>
        </w:rPr>
        <w:t>在全县范围内开展中小河流及山洪沟治理，进一步提高防洪标准；</w:t>
      </w:r>
      <w:r>
        <w:rPr>
          <w:rFonts w:hint="eastAsia" w:ascii="仿宋" w:hAnsi="仿宋" w:eastAsia="仿宋" w:cs="仿宋"/>
          <w:color w:val="000000" w:themeColor="text1"/>
          <w:sz w:val="30"/>
          <w:szCs w:val="30"/>
          <w14:textFill>
            <w14:solidFill>
              <w14:schemeClr w14:val="tx1"/>
            </w14:solidFill>
          </w14:textFill>
        </w:rPr>
        <w:t>形成更加完善的“上蓄下挡、蓄泄兼筹、分片设防、弃保有序”流域防洪保安体系。</w:t>
      </w:r>
    </w:p>
    <w:p>
      <w:pPr>
        <w:ind w:firstLine="602"/>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1、新建水库工程</w:t>
      </w:r>
    </w:p>
    <w:p>
      <w:pPr>
        <w:ind w:firstLine="6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在防洪安保方面，“十四五”期间我县计划新建调洪水库1座，为黄溪水库，总投资约2亿元。该水库位于黄溪上游河坑村夫人殿附近，总库容300万立方米，并采用隧洞联通至梅垄水库进行分洪，保障黄溪行洪安全，隧洞长约3.5公里。</w:t>
      </w:r>
    </w:p>
    <w:p>
      <w:pPr>
        <w:ind w:firstLine="602"/>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2、中小河流治理工程</w:t>
      </w:r>
    </w:p>
    <w:p>
      <w:pPr>
        <w:ind w:firstLine="6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为进一步加强我县防洪能力，提高流域防洪标准，“十四五”期间我县将持续推进并全面完成浮云溪流域综合治理项目及龙泉溪二期治理工程，计划完成投资2.5亿元。同时积极启动龙泉溪云和段、安溪流域、黄溪流域、泉溪流域、雾溪流域、沙溪流域、云坛溪流域、桥头坑流域、石门坑流域、石塘坑流域及梧桐坑流域治理工程，共治理河长100.37km，总估算投资为10.5亿元。以上项目主要建设内容包括新建（修复）堤防、护岸，新建防汛通道、滩地滩林生态修复及水景观建设等。</w:t>
      </w:r>
    </w:p>
    <w:p>
      <w:pPr>
        <w:ind w:firstLine="602"/>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3、山塘水库系统治理工程</w:t>
      </w:r>
    </w:p>
    <w:p>
      <w:pPr>
        <w:ind w:firstLine="6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我县水域面积大，山塘水库众多，据统计，全县水库有18座，库容1～10万方的山塘共计76座，总库容约156万m³，万方以下山塘共计232座，总库容约66万m³。山塘水库在防洪、灌溉、供水、发电、养殖等方面发挥了巨大的综合效益，其安全问题直接影响到人民群众的生产、生活以及生命财产安全。因此，水库山塘的除险加固是我县刻不容缓的重要工作。“十四五”期间，我县计划完成15座水库系统治理工程，估算投资0.3亿元；综合整治山塘34座，估算投资0.3亿元。</w:t>
      </w:r>
    </w:p>
    <w:p>
      <w:pPr>
        <w:ind w:firstLine="602"/>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4、山洪沟治理工程</w:t>
      </w:r>
    </w:p>
    <w:p>
      <w:pPr>
        <w:ind w:firstLine="6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山洪灾害是指山丘区由于降雨引发的山洪和由山洪引发的泥石流、滑坡等对人民生命和财产造成损失的自然灾害。每年汛期，山洪沟在全国范围内肆虐成灾，给国家和人民生命财产安全造成极大的损坏。我县地处山区，山洪灾害的危险尤为严重，不仅会对我县的基础设施造成毁灭性破坏，而且对人民群众的生命及财产安全构成极大的威胁，制约我县经济社会可持续发展，所以必须持续不断加强我县山洪沟水土流失治理。“十四五”期间，我县计划实施泉溪等3条山洪沟治理项目，估算投资0.3亿元，治理长度8公里。通过修建堤防护岸工程、开展清淤疏浚工程保障山洪出路，增强沿岸城镇、集中居民点、重要基础设施等防护对象的山洪灾害综合防御能力，有效减少人员伤亡和财产损失。</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3.1.2 优化格局配置，建设更优的水资源保障体系</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围绕人民群众日益增长的美好生活需求，坚持“全面节水，合理分水，管住用水，科学调水”原则，加快推进水利基础设施建设，实施水资源优化联调工程和</w:t>
      </w:r>
      <w:r>
        <w:rPr>
          <w:rFonts w:hint="eastAsia" w:ascii="仿宋" w:hAnsi="仿宋" w:eastAsia="仿宋" w:cs="仿宋"/>
          <w:color w:val="000000" w:themeColor="text1"/>
          <w:sz w:val="30"/>
          <w:szCs w:val="30"/>
          <w:lang w:val="en-US" w:eastAsia="zh-CN"/>
          <w14:textFill>
            <w14:solidFill>
              <w14:schemeClr w14:val="tx1"/>
            </w14:solidFill>
          </w14:textFill>
        </w:rPr>
        <w:t>农饮水惠民提升</w:t>
      </w:r>
      <w:r>
        <w:rPr>
          <w:rFonts w:hint="eastAsia" w:ascii="仿宋" w:hAnsi="仿宋" w:eastAsia="仿宋" w:cs="仿宋"/>
          <w:color w:val="000000" w:themeColor="text1"/>
          <w:sz w:val="30"/>
          <w:szCs w:val="30"/>
          <w14:textFill>
            <w14:solidFill>
              <w14:schemeClr w14:val="tx1"/>
            </w14:solidFill>
          </w14:textFill>
        </w:rPr>
        <w:t>工程，总体上形成更优的“蓄引兼顾、一体为主、乡镇为辅、单（联）村补充”水资源供给体系，提升水安全和优质水资源保障能力，并实现水源地水量保障、水质合格、监控完备、制度健全。</w:t>
      </w:r>
    </w:p>
    <w:p>
      <w:pPr>
        <w:ind w:firstLine="602"/>
        <w:rPr>
          <w:rFonts w:ascii="仿宋" w:hAnsi="仿宋" w:eastAsia="仿宋" w:cs="仿宋"/>
          <w:b/>
          <w:bCs/>
          <w:color w:val="000000" w:themeColor="text1"/>
          <w:sz w:val="30"/>
          <w:szCs w:val="30"/>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t>1</w:t>
      </w:r>
      <w:r>
        <w:rPr>
          <w:rFonts w:hint="eastAsia" w:ascii="仿宋" w:hAnsi="仿宋" w:eastAsia="仿宋" w:cs="仿宋"/>
          <w:b/>
          <w:bCs/>
          <w:color w:val="000000" w:themeColor="text1"/>
          <w:sz w:val="30"/>
          <w:szCs w:val="30"/>
          <w14:textFill>
            <w14:solidFill>
              <w14:schemeClr w14:val="tx1"/>
            </w14:solidFill>
          </w14:textFill>
        </w:rPr>
        <w:t>、实施水资源优化联调工程</w:t>
      </w:r>
    </w:p>
    <w:p>
      <w:pPr>
        <w:ind w:firstLine="600"/>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持续推进水资源优化配置工程，</w:t>
      </w:r>
      <w:r>
        <w:rPr>
          <w:rFonts w:hint="eastAsia" w:ascii="仿宋" w:hAnsi="仿宋" w:eastAsia="仿宋" w:cs="仿宋"/>
          <w:color w:val="000000" w:themeColor="text1"/>
          <w:sz w:val="30"/>
          <w:szCs w:val="30"/>
          <w:lang w:val="en-US" w:eastAsia="zh-CN"/>
          <w14:textFill>
            <w14:solidFill>
              <w14:schemeClr w14:val="tx1"/>
            </w14:solidFill>
          </w14:textFill>
        </w:rPr>
        <w:t>完成紧水滩引调水项目。紧水滩引调水工程供水线路总长14.64km，通过隧洞输水，将紧水滩水库水调入云和县城，补充县城优质水，同时改善县城水环境，以满足城区段河道生态用水需求。该项目总投资约2.5亿元，</w:t>
      </w:r>
      <w:r>
        <w:rPr>
          <w:rFonts w:hint="eastAsia" w:ascii="仿宋" w:hAnsi="仿宋" w:eastAsia="仿宋" w:cs="仿宋"/>
          <w:color w:val="000000" w:themeColor="text1"/>
          <w:sz w:val="30"/>
          <w:szCs w:val="30"/>
          <w:highlight w:val="none"/>
          <w:lang w:val="en-US" w:eastAsia="zh-CN"/>
          <w14:textFill>
            <w14:solidFill>
              <w14:schemeClr w14:val="tx1"/>
            </w14:solidFill>
          </w14:textFill>
        </w:rPr>
        <w:t>已于2019年开工建设</w:t>
      </w:r>
      <w:r>
        <w:rPr>
          <w:rFonts w:hint="eastAsia" w:ascii="仿宋" w:hAnsi="仿宋" w:eastAsia="仿宋" w:cs="仿宋"/>
          <w:color w:val="000000" w:themeColor="text1"/>
          <w:sz w:val="30"/>
          <w:szCs w:val="30"/>
          <w:lang w:val="en-US" w:eastAsia="zh-CN"/>
          <w14:textFill>
            <w14:solidFill>
              <w14:schemeClr w14:val="tx1"/>
            </w14:solidFill>
          </w14:textFill>
        </w:rPr>
        <w:t>，其</w:t>
      </w:r>
      <w:r>
        <w:rPr>
          <w:rFonts w:hint="eastAsia" w:ascii="仿宋" w:hAnsi="仿宋" w:eastAsia="仿宋" w:cs="仿宋"/>
          <w:color w:val="000000" w:themeColor="text1"/>
          <w:sz w:val="30"/>
          <w:szCs w:val="30"/>
          <w14:textFill>
            <w14:solidFill>
              <w14:schemeClr w14:val="tx1"/>
            </w14:solidFill>
          </w14:textFill>
        </w:rPr>
        <w:t>主要建设内容包括取水口工程、隧洞施工、管道敷设等。</w:t>
      </w:r>
    </w:p>
    <w:p>
      <w:pPr>
        <w:ind w:firstLine="602"/>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2、实施</w:t>
      </w:r>
      <w:r>
        <w:rPr>
          <w:rFonts w:hint="eastAsia" w:ascii="仿宋" w:hAnsi="仿宋" w:eastAsia="仿宋" w:cs="仿宋"/>
          <w:b/>
          <w:bCs/>
          <w:color w:val="000000" w:themeColor="text1"/>
          <w:sz w:val="30"/>
          <w:szCs w:val="30"/>
          <w:lang w:val="en-US" w:eastAsia="zh-CN"/>
          <w14:textFill>
            <w14:solidFill>
              <w14:schemeClr w14:val="tx1"/>
            </w14:solidFill>
          </w14:textFill>
        </w:rPr>
        <w:t>农饮水惠民提升</w:t>
      </w:r>
      <w:r>
        <w:rPr>
          <w:rFonts w:hint="eastAsia" w:ascii="仿宋" w:hAnsi="仿宋" w:eastAsia="仿宋" w:cs="仿宋"/>
          <w:b/>
          <w:bCs/>
          <w:color w:val="000000" w:themeColor="text1"/>
          <w:sz w:val="30"/>
          <w:szCs w:val="30"/>
          <w14:textFill>
            <w14:solidFill>
              <w14:schemeClr w14:val="tx1"/>
            </w14:solidFill>
          </w14:textFill>
        </w:rPr>
        <w:t>工程</w:t>
      </w:r>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持续提高农村饮用水保障水平，坚持城乡同质饮水标准，遵循“城乡统筹、统一管护”，采取“建大、并中、减小”，着力加强农村供水工程的水源建设；推动城乡供水一体化及规模化供水工程建设，实施老旧供水设施更新改造，提升数字化管理水平；抓好饮用水源地管理保护，保障饮用水水源安全。</w:t>
      </w:r>
    </w:p>
    <w:p>
      <w:pPr>
        <w:ind w:firstLine="602"/>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（1）建设一批农村饮用水水源工程。</w:t>
      </w:r>
      <w:r>
        <w:rPr>
          <w:rFonts w:hint="eastAsia" w:ascii="仿宋" w:hAnsi="仿宋" w:eastAsia="仿宋" w:cs="仿宋"/>
          <w:color w:val="000000" w:themeColor="text1"/>
          <w:sz w:val="30"/>
          <w:szCs w:val="30"/>
          <w14:textFill>
            <w14:solidFill>
              <w14:schemeClr w14:val="tx1"/>
            </w14:solidFill>
          </w14:textFill>
        </w:rPr>
        <w:t>在</w:t>
      </w:r>
      <w:r>
        <w:rPr>
          <w:rFonts w:hint="eastAsia" w:ascii="仿宋" w:hAnsi="仿宋" w:eastAsia="仿宋" w:cs="仿宋"/>
          <w:color w:val="000000" w:themeColor="text1"/>
          <w:sz w:val="30"/>
          <w:szCs w:val="30"/>
          <w:lang w:val="en-US" w:eastAsia="zh-CN"/>
          <w14:textFill>
            <w14:solidFill>
              <w14:schemeClr w14:val="tx1"/>
            </w14:solidFill>
          </w14:textFill>
        </w:rPr>
        <w:t>崇</w:t>
      </w:r>
      <w:r>
        <w:rPr>
          <w:rFonts w:hint="eastAsia" w:ascii="仿宋" w:hAnsi="仿宋" w:eastAsia="仿宋" w:cs="仿宋"/>
          <w:color w:val="000000" w:themeColor="text1"/>
          <w:sz w:val="30"/>
          <w:szCs w:val="30"/>
          <w:lang w:eastAsia="zh-CN"/>
          <w14:textFill>
            <w14:solidFill>
              <w14:schemeClr w14:val="tx1"/>
            </w14:solidFill>
          </w14:textFill>
        </w:rPr>
        <w:t>溪</w:t>
      </w:r>
      <w:r>
        <w:rPr>
          <w:rFonts w:hint="eastAsia" w:ascii="仿宋" w:hAnsi="仿宋" w:eastAsia="仿宋" w:cs="仿宋"/>
          <w:color w:val="000000" w:themeColor="text1"/>
          <w:sz w:val="30"/>
          <w:szCs w:val="30"/>
          <w14:textFill>
            <w14:solidFill>
              <w14:schemeClr w14:val="tx1"/>
            </w14:solidFill>
          </w14:textFill>
        </w:rPr>
        <w:t>上游严坑</w:t>
      </w:r>
      <w:r>
        <w:rPr>
          <w:rFonts w:hint="eastAsia" w:ascii="仿宋" w:hAnsi="仿宋" w:eastAsia="仿宋" w:cs="仿宋"/>
          <w:color w:val="000000" w:themeColor="text1"/>
          <w:sz w:val="30"/>
          <w:szCs w:val="30"/>
          <w:lang w:val="en-US" w:eastAsia="zh-CN"/>
          <w14:textFill>
            <w14:solidFill>
              <w14:schemeClr w14:val="tx1"/>
            </w14:solidFill>
          </w14:textFill>
        </w:rPr>
        <w:t>处</w:t>
      </w:r>
      <w:r>
        <w:rPr>
          <w:rFonts w:hint="eastAsia" w:ascii="仿宋" w:hAnsi="仿宋" w:eastAsia="仿宋" w:cs="仿宋"/>
          <w:color w:val="000000" w:themeColor="text1"/>
          <w:sz w:val="30"/>
          <w:szCs w:val="30"/>
          <w14:textFill>
            <w14:solidFill>
              <w14:schemeClr w14:val="tx1"/>
            </w14:solidFill>
          </w14:textFill>
        </w:rPr>
        <w:t>新建小型水库一座，总库容</w:t>
      </w:r>
      <w:r>
        <w:rPr>
          <w:rFonts w:hint="eastAsia" w:ascii="仿宋" w:hAnsi="仿宋" w:eastAsia="仿宋" w:cs="仿宋"/>
          <w:color w:val="000000" w:themeColor="text1"/>
          <w:sz w:val="30"/>
          <w:szCs w:val="30"/>
          <w:lang w:val="en-US" w:eastAsia="zh-CN"/>
          <w14:textFill>
            <w14:solidFill>
              <w14:schemeClr w14:val="tx1"/>
            </w14:solidFill>
          </w14:textFill>
        </w:rPr>
        <w:t>90</w:t>
      </w:r>
      <w:r>
        <w:rPr>
          <w:rFonts w:hint="eastAsia" w:ascii="仿宋" w:hAnsi="仿宋" w:eastAsia="仿宋" w:cs="仿宋"/>
          <w:color w:val="000000" w:themeColor="text1"/>
          <w:sz w:val="30"/>
          <w:szCs w:val="30"/>
          <w14:textFill>
            <w14:solidFill>
              <w14:schemeClr w14:val="tx1"/>
            </w14:solidFill>
          </w14:textFill>
        </w:rPr>
        <w:t>万立方米，解决崇头水厂供水</w:t>
      </w:r>
      <w:r>
        <w:rPr>
          <w:rFonts w:hint="eastAsia" w:ascii="仿宋" w:hAnsi="仿宋" w:eastAsia="仿宋" w:cs="仿宋"/>
          <w:color w:val="000000" w:themeColor="text1"/>
          <w:sz w:val="30"/>
          <w:szCs w:val="30"/>
          <w:lang w:val="en-US" w:eastAsia="zh-CN"/>
          <w14:textFill>
            <w14:solidFill>
              <w14:schemeClr w14:val="tx1"/>
            </w14:solidFill>
          </w14:textFill>
        </w:rPr>
        <w:t>问题</w:t>
      </w:r>
      <w:r>
        <w:rPr>
          <w:rFonts w:hint="eastAsia" w:ascii="仿宋" w:hAnsi="仿宋" w:eastAsia="仿宋" w:cs="仿宋"/>
          <w:color w:val="000000" w:themeColor="text1"/>
          <w:sz w:val="30"/>
          <w:szCs w:val="30"/>
          <w14:textFill>
            <w14:solidFill>
              <w14:schemeClr w14:val="tx1"/>
            </w14:solidFill>
          </w14:textFill>
        </w:rPr>
        <w:t>，同时修复下游水生态，进一步提高</w:t>
      </w:r>
      <w:r>
        <w:rPr>
          <w:rFonts w:hint="eastAsia" w:ascii="仿宋" w:hAnsi="仿宋" w:eastAsia="仿宋" w:cs="仿宋"/>
          <w:color w:val="000000" w:themeColor="text1"/>
          <w:sz w:val="30"/>
          <w:szCs w:val="30"/>
          <w:lang w:val="en-US" w:eastAsia="zh-CN"/>
          <w14:textFill>
            <w14:solidFill>
              <w14:schemeClr w14:val="tx1"/>
            </w14:solidFill>
          </w14:textFill>
        </w:rPr>
        <w:t>崇头镇</w:t>
      </w:r>
      <w:r>
        <w:rPr>
          <w:rFonts w:hint="eastAsia" w:ascii="仿宋" w:hAnsi="仿宋" w:eastAsia="仿宋" w:cs="仿宋"/>
          <w:color w:val="000000" w:themeColor="text1"/>
          <w:sz w:val="30"/>
          <w:szCs w:val="30"/>
          <w14:textFill>
            <w14:solidFill>
              <w14:schemeClr w14:val="tx1"/>
            </w14:solidFill>
          </w14:textFill>
        </w:rPr>
        <w:t>农村饮用水供水水质和水量</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估算投资为1亿元；</w:t>
      </w:r>
      <w:r>
        <w:rPr>
          <w:rFonts w:hint="eastAsia" w:ascii="仿宋_GB2312" w:eastAsia="仿宋_GB2312"/>
          <w:color w:val="auto"/>
          <w:sz w:val="32"/>
          <w:szCs w:val="32"/>
          <w:lang w:val="en-US" w:eastAsia="zh-CN"/>
        </w:rPr>
        <w:t>在紧水滩镇梓枋村新建小型水库一座，总库容约100万立方米，为周边村庄提供充足的饮用水水源，估算投资为1亿元。</w:t>
      </w:r>
      <w:r>
        <w:rPr>
          <w:rFonts w:hint="eastAsia" w:ascii="仿宋" w:hAnsi="仿宋" w:eastAsia="仿宋" w:cs="仿宋"/>
          <w:color w:val="000000" w:themeColor="text1"/>
          <w:sz w:val="30"/>
          <w:szCs w:val="30"/>
          <w:lang w:val="en-US" w:eastAsia="zh-CN"/>
          <w14:textFill>
            <w14:solidFill>
              <w14:schemeClr w14:val="tx1"/>
            </w14:solidFill>
          </w14:textFill>
        </w:rPr>
        <w:t>同时，在全县范围内谋划一批小型</w:t>
      </w:r>
      <w:r>
        <w:rPr>
          <w:rFonts w:hint="eastAsia" w:hAnsi="宋体" w:eastAsia="仿宋" w:cs="Times New Roman"/>
          <w:sz w:val="28"/>
          <w:szCs w:val="28"/>
          <w:lang w:val="en-US" w:eastAsia="zh-CN"/>
        </w:rPr>
        <w:t>水源工程，缓解我县局部农村地区季节性缺水现状。</w:t>
      </w:r>
    </w:p>
    <w:p>
      <w:pPr>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（2）继续抓好饮用水源地管理保护。</w:t>
      </w:r>
      <w:r>
        <w:rPr>
          <w:rFonts w:hint="eastAsia" w:ascii="仿宋_GB2312" w:eastAsia="仿宋_GB2312"/>
          <w:color w:val="auto"/>
          <w:sz w:val="32"/>
          <w:szCs w:val="32"/>
          <w:lang w:val="en-US" w:eastAsia="zh-CN"/>
        </w:rPr>
        <w:t>投入0.5亿元实行农村饮用水水源地保障工程，新建农村供水水源50处，保护已建农村水源地86处。</w:t>
      </w:r>
      <w:r>
        <w:rPr>
          <w:rFonts w:hint="eastAsia" w:ascii="仿宋" w:hAnsi="仿宋" w:eastAsia="仿宋" w:cs="仿宋"/>
          <w:color w:val="000000" w:themeColor="text1"/>
          <w:sz w:val="30"/>
          <w:szCs w:val="30"/>
          <w:lang w:val="en-US" w:eastAsia="zh-CN"/>
          <w14:textFill>
            <w14:solidFill>
              <w14:schemeClr w14:val="tx1"/>
            </w14:solidFill>
          </w14:textFill>
        </w:rPr>
        <w:t>同时，在全县范围内开展</w:t>
      </w:r>
      <w:r>
        <w:rPr>
          <w:rFonts w:hint="eastAsia" w:ascii="仿宋" w:hAnsi="仿宋" w:eastAsia="仿宋" w:cs="仿宋"/>
          <w:color w:val="000000" w:themeColor="text1"/>
          <w:sz w:val="30"/>
          <w:szCs w:val="30"/>
          <w14:textFill>
            <w14:solidFill>
              <w14:schemeClr w14:val="tx1"/>
            </w14:solidFill>
          </w14:textFill>
        </w:rPr>
        <w:t>严格执行安全保障达标年度评估制度，实现水源地水量保障、水质合格、监控完备、制度健全的总目标，持续提升水源地安全保障水平。</w:t>
      </w:r>
    </w:p>
    <w:p>
      <w:pPr>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（3）</w:t>
      </w:r>
      <w:r>
        <w:rPr>
          <w:rFonts w:hint="eastAsia" w:ascii="仿宋" w:hAnsi="仿宋" w:eastAsia="仿宋" w:cs="仿宋"/>
          <w:b/>
          <w:bCs/>
          <w:color w:val="000000" w:themeColor="text1"/>
          <w:sz w:val="30"/>
          <w:szCs w:val="30"/>
          <w:lang w:val="en-US" w:eastAsia="zh-CN"/>
          <w14:textFill>
            <w14:solidFill>
              <w14:schemeClr w14:val="tx1"/>
            </w14:solidFill>
          </w14:textFill>
        </w:rPr>
        <w:t>推进</w:t>
      </w:r>
      <w:r>
        <w:rPr>
          <w:rFonts w:hint="eastAsia" w:ascii="仿宋" w:hAnsi="仿宋" w:eastAsia="仿宋" w:cs="仿宋"/>
          <w:b/>
          <w:bCs/>
          <w:color w:val="000000" w:themeColor="text1"/>
          <w:sz w:val="30"/>
          <w:szCs w:val="30"/>
          <w14:textFill>
            <w14:solidFill>
              <w14:schemeClr w14:val="tx1"/>
            </w14:solidFill>
          </w14:textFill>
        </w:rPr>
        <w:t>云和县县域供水工程</w:t>
      </w:r>
      <w:r>
        <w:rPr>
          <w:rFonts w:hint="eastAsia" w:ascii="仿宋" w:hAnsi="仿宋" w:eastAsia="仿宋" w:cs="仿宋"/>
          <w:b/>
          <w:bCs/>
          <w:color w:val="000000" w:themeColor="text1"/>
          <w:sz w:val="30"/>
          <w:szCs w:val="30"/>
          <w:lang w:val="en-US" w:eastAsia="zh-CN"/>
          <w14:textFill>
            <w14:solidFill>
              <w14:schemeClr w14:val="tx1"/>
            </w14:solidFill>
          </w14:textFill>
        </w:rPr>
        <w:t>建设</w:t>
      </w:r>
      <w:r>
        <w:rPr>
          <w:rFonts w:hint="eastAsia" w:ascii="仿宋" w:hAnsi="仿宋" w:eastAsia="仿宋" w:cs="仿宋"/>
          <w:b/>
          <w:bCs/>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为进一步提升农村供水管网，保障农民饮用水安全</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十四五</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期间计划投入资金1亿元，对</w:t>
      </w:r>
      <w:r>
        <w:rPr>
          <w:rFonts w:hint="eastAsia" w:ascii="仿宋" w:hAnsi="仿宋" w:eastAsia="仿宋" w:cs="仿宋"/>
          <w:color w:val="000000" w:themeColor="text1"/>
          <w:sz w:val="30"/>
          <w:szCs w:val="30"/>
          <w14:textFill>
            <w14:solidFill>
              <w14:schemeClr w14:val="tx1"/>
            </w14:solidFill>
          </w14:textFill>
        </w:rPr>
        <w:t>云和县城、崇头镇、石塘镇、紧水滩镇、安溪乡、赤石乡水厂</w:t>
      </w:r>
      <w:r>
        <w:rPr>
          <w:rFonts w:hint="eastAsia" w:ascii="仿宋" w:hAnsi="仿宋" w:eastAsia="仿宋" w:cs="仿宋"/>
          <w:color w:val="000000" w:themeColor="text1"/>
          <w:sz w:val="30"/>
          <w:szCs w:val="30"/>
          <w:lang w:val="en-US" w:eastAsia="zh-CN"/>
          <w14:textFill>
            <w14:solidFill>
              <w14:schemeClr w14:val="tx1"/>
            </w14:solidFill>
          </w14:textFill>
        </w:rPr>
        <w:t>进行</w:t>
      </w:r>
      <w:r>
        <w:rPr>
          <w:rFonts w:hint="eastAsia" w:ascii="仿宋" w:hAnsi="仿宋" w:eastAsia="仿宋" w:cs="仿宋"/>
          <w:color w:val="000000" w:themeColor="text1"/>
          <w:sz w:val="30"/>
          <w:szCs w:val="30"/>
          <w14:textFill>
            <w14:solidFill>
              <w14:schemeClr w14:val="tx1"/>
            </w14:solidFill>
          </w14:textFill>
        </w:rPr>
        <w:t>扩建及管网延伸</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并持续推进</w:t>
      </w:r>
      <w:r>
        <w:rPr>
          <w:rFonts w:hint="eastAsia" w:ascii="仿宋" w:hAnsi="仿宋" w:eastAsia="仿宋" w:cs="仿宋"/>
          <w:color w:val="000000" w:themeColor="text1"/>
          <w:sz w:val="30"/>
          <w:szCs w:val="30"/>
          <w14:textFill>
            <w14:solidFill>
              <w14:schemeClr w14:val="tx1"/>
            </w14:solidFill>
          </w14:textFill>
        </w:rPr>
        <w:t>规模化集中供水工程建设、小型供水工程升级改造、老旧供水工程更新改造、信息化管理能力的提升（监测设施配备）。</w:t>
      </w:r>
    </w:p>
    <w:p>
      <w:pPr>
        <w:pStyle w:val="2"/>
        <w:rPr>
          <w:rFonts w:hint="eastAsia"/>
          <w:lang w:val="en-US" w:eastAsia="zh-CN"/>
        </w:rPr>
      </w:pP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3.1.3 修复水生态，构建更高品质的水生态环境体系</w:t>
      </w:r>
    </w:p>
    <w:p>
      <w:pPr>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以“幸福河”建设为抓手，实施幸福河湖工程，通过</w:t>
      </w:r>
      <w:r>
        <w:rPr>
          <w:rFonts w:hint="eastAsia" w:ascii="仿宋" w:hAnsi="仿宋" w:eastAsia="仿宋"/>
          <w:color w:val="000000" w:themeColor="text1"/>
          <w:sz w:val="30"/>
          <w:szCs w:val="30"/>
          <w:lang w:val="en-US" w:eastAsia="zh-CN"/>
          <w14:textFill>
            <w14:solidFill>
              <w14:schemeClr w14:val="tx1"/>
            </w14:solidFill>
          </w14:textFill>
        </w:rPr>
        <w:t>河道生态化提升改造、</w:t>
      </w:r>
      <w:r>
        <w:rPr>
          <w:rFonts w:hint="eastAsia" w:ascii="仿宋" w:hAnsi="仿宋" w:eastAsia="仿宋"/>
          <w:color w:val="000000" w:themeColor="text1"/>
          <w:sz w:val="30"/>
          <w:szCs w:val="30"/>
          <w14:textFill>
            <w14:solidFill>
              <w14:schemeClr w14:val="tx1"/>
            </w14:solidFill>
          </w14:textFill>
        </w:rPr>
        <w:t>农村水系综合整治</w:t>
      </w:r>
      <w:r>
        <w:rPr>
          <w:rFonts w:hint="eastAsia" w:ascii="仿宋" w:hAnsi="仿宋" w:eastAsia="仿宋"/>
          <w:color w:val="000000" w:themeColor="text1"/>
          <w:sz w:val="30"/>
          <w:szCs w:val="30"/>
          <w:lang w:val="en-US" w:eastAsia="zh-CN"/>
          <w14:textFill>
            <w14:solidFill>
              <w14:schemeClr w14:val="tx1"/>
            </w14:solidFill>
          </w14:textFill>
        </w:rPr>
        <w:t>、小流域水土流失治理等项目</w:t>
      </w:r>
      <w:r>
        <w:rPr>
          <w:rFonts w:hint="eastAsia" w:ascii="仿宋" w:hAnsi="仿宋" w:eastAsia="仿宋"/>
          <w:color w:val="000000" w:themeColor="text1"/>
          <w:sz w:val="30"/>
          <w:szCs w:val="30"/>
          <w14:textFill>
            <w14:solidFill>
              <w14:schemeClr w14:val="tx1"/>
            </w14:solidFill>
          </w14:textFill>
        </w:rPr>
        <w:t>提升河湖安全保障、改善河湖生态环境、提升河湖休闲惠民品味，</w:t>
      </w:r>
      <w:r>
        <w:rPr>
          <w:rFonts w:hint="eastAsia" w:ascii="仿宋" w:hAnsi="仿宋" w:eastAsia="仿宋"/>
          <w:color w:val="000000" w:themeColor="text1"/>
          <w:sz w:val="30"/>
          <w:szCs w:val="30"/>
          <w:lang w:val="en-US" w:eastAsia="zh-CN"/>
          <w14:textFill>
            <w14:solidFill>
              <w14:schemeClr w14:val="tx1"/>
            </w14:solidFill>
          </w14:textFill>
        </w:rPr>
        <w:t>环境</w:t>
      </w:r>
      <w:r>
        <w:rPr>
          <w:rFonts w:hint="eastAsia" w:ascii="仿宋" w:hAnsi="仿宋" w:eastAsia="仿宋"/>
          <w:color w:val="000000" w:themeColor="text1"/>
          <w:sz w:val="30"/>
          <w:szCs w:val="30"/>
          <w14:textFill>
            <w14:solidFill>
              <w14:schemeClr w14:val="tx1"/>
            </w14:solidFill>
          </w14:textFill>
        </w:rPr>
        <w:t>因水而美，产业因水而荣，文化因水而兴，打造全域“美丽河湖”，树立全国“幸福河”样板</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助力云和童话大花园及共同富裕示范县建设</w:t>
      </w:r>
      <w:r>
        <w:rPr>
          <w:rFonts w:hint="eastAsia" w:ascii="仿宋" w:hAnsi="仿宋" w:eastAsia="仿宋"/>
          <w:color w:val="000000" w:themeColor="text1"/>
          <w:sz w:val="30"/>
          <w:szCs w:val="30"/>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1、河道水生态化提升改造工程</w:t>
      </w:r>
    </w:p>
    <w:p>
      <w:pPr>
        <w:keepNext w:val="0"/>
        <w:keepLines w:val="0"/>
        <w:pageBreakBefore w:val="0"/>
        <w:widowControl/>
        <w:numPr>
          <w:ilvl w:val="0"/>
          <w:numId w:val="0"/>
        </w:numPr>
        <w:kinsoku/>
        <w:wordWrap/>
        <w:overflowPunct/>
        <w:topLinePunct w:val="0"/>
        <w:autoSpaceDE/>
        <w:autoSpaceDN/>
        <w:bidi w:val="0"/>
        <w:adjustRightInd/>
        <w:snapToGrid/>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我县计划对浮云溪城区段及梅垄溪水生态进行提升改造，通过修复河槽及岸坡生态、打造亲水平台及水景观节点等方式全面改善水生态，提高河道的观赏价值。以上项目总投资为4亿元，“十四五”期间计划完成投资3.3亿元。</w:t>
      </w:r>
    </w:p>
    <w:p>
      <w:pPr>
        <w:ind w:firstLine="599" w:firstLineChars="199"/>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2</w:t>
      </w:r>
      <w:r>
        <w:rPr>
          <w:rFonts w:hint="eastAsia" w:ascii="仿宋" w:hAnsi="仿宋" w:eastAsia="仿宋" w:cs="仿宋"/>
          <w:b/>
          <w:bCs/>
          <w:color w:val="000000" w:themeColor="text1"/>
          <w:sz w:val="30"/>
          <w:szCs w:val="30"/>
          <w14:textFill>
            <w14:solidFill>
              <w14:schemeClr w14:val="tx1"/>
            </w14:solidFill>
          </w14:textFill>
        </w:rPr>
        <w:t>、农村水系综合整治工程</w:t>
      </w:r>
    </w:p>
    <w:p>
      <w:pPr>
        <w:ind w:firstLine="597" w:firstLineChars="19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为</w:t>
      </w:r>
      <w:r>
        <w:rPr>
          <w:rFonts w:hint="eastAsia" w:ascii="仿宋" w:hAnsi="仿宋" w:eastAsia="仿宋" w:cs="仿宋"/>
          <w:color w:val="000000" w:themeColor="text1"/>
          <w:sz w:val="30"/>
          <w:szCs w:val="30"/>
          <w14:textFill>
            <w14:solidFill>
              <w14:schemeClr w14:val="tx1"/>
            </w14:solidFill>
          </w14:textFill>
        </w:rPr>
        <w:t>使农村环境面貌得到美化，缩小城乡差别，使农村经济得到发展，进一步促进城乡一体化的进程，规划对流域面积较小的农村水系进行系统治理。该工程</w:t>
      </w:r>
      <w:r>
        <w:rPr>
          <w:rFonts w:hint="eastAsia" w:ascii="仿宋" w:hAnsi="仿宋" w:eastAsia="仿宋" w:cs="仿宋"/>
          <w:color w:val="000000" w:themeColor="text1"/>
          <w:sz w:val="30"/>
          <w:szCs w:val="30"/>
          <w:lang w:val="en-US" w:eastAsia="zh-CN"/>
          <w14:textFill>
            <w14:solidFill>
              <w14:schemeClr w14:val="tx1"/>
            </w14:solidFill>
          </w14:textFill>
        </w:rPr>
        <w:t>以全县十个乡镇（街道）为实施单位</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涉及71个行政村，计划综合治理河道50条共100公里</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保护人口3万人，保护农田1.5万亩，估算投资为2.6亿元。</w:t>
      </w:r>
      <w:r>
        <w:rPr>
          <w:rFonts w:hint="eastAsia" w:ascii="仿宋" w:hAnsi="仿宋" w:eastAsia="仿宋" w:cs="仿宋"/>
          <w:color w:val="000000" w:themeColor="text1"/>
          <w:sz w:val="30"/>
          <w:szCs w:val="30"/>
          <w14:textFill>
            <w14:solidFill>
              <w14:schemeClr w14:val="tx1"/>
            </w14:solidFill>
          </w14:textFill>
        </w:rPr>
        <w:t>工程任务主要为提高行洪排涝能力，保障河道行洪安全，加强</w:t>
      </w:r>
      <w:r>
        <w:rPr>
          <w:rFonts w:hint="eastAsia" w:ascii="仿宋" w:hAnsi="仿宋" w:eastAsia="仿宋" w:cs="仿宋"/>
          <w:color w:val="000000" w:themeColor="text1"/>
          <w:sz w:val="30"/>
          <w:szCs w:val="30"/>
          <w:lang w:val="en-US" w:eastAsia="zh-CN"/>
          <w14:textFill>
            <w14:solidFill>
              <w14:schemeClr w14:val="tx1"/>
            </w14:solidFill>
          </w14:textFill>
        </w:rPr>
        <w:t>水治理、</w:t>
      </w:r>
      <w:r>
        <w:rPr>
          <w:rFonts w:hint="eastAsia" w:ascii="仿宋" w:hAnsi="仿宋" w:eastAsia="仿宋" w:cs="仿宋"/>
          <w:color w:val="000000" w:themeColor="text1"/>
          <w:sz w:val="30"/>
          <w:szCs w:val="30"/>
          <w14:textFill>
            <w14:solidFill>
              <w14:schemeClr w14:val="tx1"/>
            </w14:solidFill>
          </w14:textFill>
        </w:rPr>
        <w:t>改善水环境</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为</w:t>
      </w:r>
      <w:r>
        <w:rPr>
          <w:rFonts w:hint="eastAsia" w:ascii="仿宋" w:hAnsi="仿宋" w:eastAsia="仿宋" w:cs="仿宋"/>
          <w:color w:val="000000" w:themeColor="text1"/>
          <w:sz w:val="30"/>
          <w:szCs w:val="30"/>
          <w14:textFill>
            <w14:solidFill>
              <w14:schemeClr w14:val="tx1"/>
            </w14:solidFill>
          </w14:textFill>
        </w:rPr>
        <w:t>新农村建设</w:t>
      </w:r>
      <w:r>
        <w:rPr>
          <w:rFonts w:hint="eastAsia" w:ascii="仿宋" w:hAnsi="仿宋" w:eastAsia="仿宋" w:cs="仿宋"/>
          <w:color w:val="000000" w:themeColor="text1"/>
          <w:sz w:val="30"/>
          <w:szCs w:val="30"/>
          <w:lang w:val="en-US" w:eastAsia="zh-CN"/>
          <w14:textFill>
            <w14:solidFill>
              <w14:schemeClr w14:val="tx1"/>
            </w14:solidFill>
          </w14:textFill>
        </w:rPr>
        <w:t>添砖加瓦</w:t>
      </w:r>
      <w:r>
        <w:rPr>
          <w:rFonts w:hint="eastAsia" w:ascii="仿宋" w:hAnsi="仿宋" w:eastAsia="仿宋" w:cs="仿宋"/>
          <w:color w:val="000000" w:themeColor="text1"/>
          <w:sz w:val="30"/>
          <w:szCs w:val="30"/>
          <w14:textFill>
            <w14:solidFill>
              <w14:schemeClr w14:val="tx1"/>
            </w14:solidFill>
          </w14:textFill>
        </w:rPr>
        <w:t>。</w:t>
      </w:r>
    </w:p>
    <w:p>
      <w:pPr>
        <w:ind w:firstLine="599" w:firstLineChars="199"/>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3、小流域水土流失治理工程</w:t>
      </w:r>
    </w:p>
    <w:p>
      <w:pPr>
        <w:ind w:firstLine="597" w:firstLineChars="199"/>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为持续开展水土流失综合治理，使人居环境显著提升、水源地水质得到有效维护，规划以小流域为单元，按照“山、水、田、林、路、村”综合治理的原则，采取“项目集中连片、规模治理”的方式</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开展小顺大坑等共计30平方公里小流域水土流失治理工作，计划投入资金0.3亿元。</w:t>
      </w:r>
    </w:p>
    <w:p>
      <w:pPr>
        <w:ind w:firstLine="599" w:firstLineChars="199"/>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4、绿色生态小水电建设工程</w:t>
      </w:r>
    </w:p>
    <w:p>
      <w:pPr>
        <w:keepNext w:val="0"/>
        <w:keepLines w:val="0"/>
        <w:widowControl/>
        <w:suppressLineNumbers w:val="0"/>
        <w:jc w:val="left"/>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为了更好的发挥小水电在节能减排、改善民生、修复生态等方面的作</w:t>
      </w:r>
      <w:r>
        <w:rPr>
          <w:rFonts w:hint="eastAsia" w:ascii="仿宋" w:hAnsi="仿宋" w:eastAsia="仿宋" w:cs="仿宋"/>
          <w:color w:val="000000" w:themeColor="text1"/>
          <w:sz w:val="30"/>
          <w:szCs w:val="30"/>
          <w:lang w:val="en-US" w:eastAsia="zh-CN"/>
          <w14:textFill>
            <w14:solidFill>
              <w14:schemeClr w14:val="tx1"/>
            </w14:solidFill>
          </w14:textFill>
        </w:rPr>
        <w:t>用</w:t>
      </w:r>
      <w:r>
        <w:rPr>
          <w:rFonts w:hint="eastAsia" w:ascii="仿宋" w:hAnsi="仿宋" w:eastAsia="仿宋" w:cs="仿宋"/>
          <w:color w:val="000000" w:themeColor="text1"/>
          <w:sz w:val="30"/>
          <w:szCs w:val="30"/>
          <w14:textFill>
            <w14:solidFill>
              <w14:schemeClr w14:val="tx1"/>
            </w14:solidFill>
          </w14:textFill>
        </w:rPr>
        <w:t>，推动小水电科学发展，</w:t>
      </w:r>
      <w:r>
        <w:rPr>
          <w:rFonts w:hint="eastAsia" w:ascii="仿宋" w:hAnsi="仿宋" w:eastAsia="仿宋" w:cs="仿宋"/>
          <w:color w:val="000000" w:themeColor="text1"/>
          <w:sz w:val="30"/>
          <w:szCs w:val="30"/>
          <w:lang w:val="en-US" w:eastAsia="zh-CN"/>
          <w14:textFill>
            <w14:solidFill>
              <w14:schemeClr w14:val="tx1"/>
            </w14:solidFill>
          </w14:textFill>
        </w:rPr>
        <w:t>“十四五”期间计划对靛青山等8座水电站</w:t>
      </w:r>
      <w:r>
        <w:rPr>
          <w:rFonts w:ascii="仿宋" w:hAnsi="仿宋" w:eastAsia="仿宋" w:cs="仿宋"/>
          <w:color w:val="000000"/>
          <w:kern w:val="0"/>
          <w:sz w:val="30"/>
          <w:szCs w:val="30"/>
          <w:lang w:val="en-US" w:eastAsia="zh-CN" w:bidi="ar"/>
        </w:rPr>
        <w:t>实施老旧水电站更新改造</w:t>
      </w:r>
      <w:r>
        <w:rPr>
          <w:rFonts w:hint="eastAsia" w:ascii="仿宋" w:hAnsi="仿宋" w:eastAsia="仿宋" w:cs="仿宋"/>
          <w:color w:val="000000"/>
          <w:kern w:val="0"/>
          <w:sz w:val="30"/>
          <w:szCs w:val="30"/>
          <w:lang w:val="en-US" w:eastAsia="zh-CN" w:bidi="ar"/>
        </w:rPr>
        <w:t>，</w:t>
      </w:r>
      <w:r>
        <w:rPr>
          <w:rFonts w:hint="eastAsia" w:ascii="仿宋" w:hAnsi="仿宋" w:eastAsia="仿宋" w:cs="仿宋"/>
          <w:b w:val="0"/>
          <w:bCs w:val="0"/>
          <w:color w:val="000000"/>
          <w:kern w:val="0"/>
          <w:sz w:val="30"/>
          <w:szCs w:val="30"/>
          <w:lang w:val="en-US" w:eastAsia="zh-CN" w:bidi="ar"/>
        </w:rPr>
        <w:t>对泗洲堂、靛青山等7座水电站开展生态示范区建设，</w:t>
      </w:r>
      <w:r>
        <w:rPr>
          <w:rFonts w:hint="eastAsia" w:ascii="仿宋" w:hAnsi="仿宋" w:eastAsia="仿宋" w:cs="仿宋"/>
          <w:color w:val="000000"/>
          <w:kern w:val="0"/>
          <w:sz w:val="30"/>
          <w:szCs w:val="30"/>
          <w:lang w:val="en-US" w:eastAsia="zh-CN" w:bidi="ar"/>
        </w:rPr>
        <w:t>并新建大湾水电站1座，以此来改善和调节水电站下游河道生态流量，实现水电站与周边环境协调。计划共开展15座绿色小水电创建，计划投入资金约0.6亿元。</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3.1.4 强化智慧应用，构建更加高效的智慧水利</w:t>
      </w:r>
    </w:p>
    <w:p>
      <w:pPr>
        <w:ind w:firstLine="597" w:firstLineChars="19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在省水利厅“统一用户建设、统一数据建设、统一安全建设、统一地图建设和统一门户建设”等“五统一”的基础上，着力构建基于“一张智能感知网、一朵基础设施云、一个水利数据仓、一张水利专题图、一个智慧水利综合管理平台（水管理平台）、一套智慧运维保障体系、一套应用支撑体系、N大数字化业务应用系统”的“7+N”智慧水利（水管理平台）新体系”。</w:t>
      </w:r>
    </w:p>
    <w:p>
      <w:pPr>
        <w:pStyle w:val="2"/>
        <w:ind w:firstLine="602"/>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1、</w:t>
      </w:r>
      <w:r>
        <w:rPr>
          <w:rFonts w:hint="eastAsia" w:ascii="仿宋" w:hAnsi="仿宋" w:eastAsia="仿宋" w:cs="仿宋"/>
          <w:b/>
          <w:bCs/>
          <w:color w:val="000000" w:themeColor="text1"/>
          <w:sz w:val="30"/>
          <w:szCs w:val="30"/>
          <w:lang w:val="en-US" w:eastAsia="zh-CN"/>
          <w14:textFill>
            <w14:solidFill>
              <w14:schemeClr w14:val="tx1"/>
            </w14:solidFill>
          </w14:textFill>
        </w:rPr>
        <w:t>感知体系建设</w:t>
      </w:r>
    </w:p>
    <w:p>
      <w:pPr>
        <w:ind w:firstLine="597" w:firstLineChars="19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“十四五”期间，我县计划投入资金0.1亿元实施水文防汛“5+1”工程，</w:t>
      </w:r>
      <w:r>
        <w:rPr>
          <w:rFonts w:hint="eastAsia" w:ascii="仿宋" w:hAnsi="仿宋" w:eastAsia="仿宋" w:cs="仿宋"/>
          <w:color w:val="000000" w:themeColor="text1"/>
          <w:sz w:val="30"/>
          <w:szCs w:val="30"/>
          <w14:textFill>
            <w14:solidFill>
              <w14:schemeClr w14:val="tx1"/>
            </w14:solidFill>
          </w14:textFill>
        </w:rPr>
        <w:t>通过加强水利信息采集，全面补充完善水文监测站网和水雨情监测站点、水利视频监控、</w:t>
      </w:r>
      <w:r>
        <w:rPr>
          <w:rFonts w:hint="eastAsia" w:ascii="仿宋" w:hAnsi="仿宋" w:eastAsia="仿宋" w:cs="仿宋"/>
          <w:color w:val="000000" w:themeColor="text1"/>
          <w:sz w:val="30"/>
          <w:szCs w:val="30"/>
          <w:lang w:val="en-US" w:eastAsia="zh-CN"/>
          <w14:textFill>
            <w14:solidFill>
              <w14:schemeClr w14:val="tx1"/>
            </w14:solidFill>
          </w14:textFill>
        </w:rPr>
        <w:t>农饮水工程</w:t>
      </w:r>
      <w:r>
        <w:rPr>
          <w:rFonts w:hint="eastAsia" w:ascii="仿宋" w:hAnsi="仿宋" w:eastAsia="仿宋" w:cs="仿宋"/>
          <w:color w:val="000000" w:themeColor="text1"/>
          <w:sz w:val="30"/>
          <w:szCs w:val="30"/>
          <w14:textFill>
            <w14:solidFill>
              <w14:schemeClr w14:val="tx1"/>
            </w14:solidFill>
          </w14:textFill>
        </w:rPr>
        <w:t>监测设施，提升水利要素监测感知能力，构建全面透彻的水利智能感知网。</w:t>
      </w:r>
    </w:p>
    <w:p>
      <w:pPr>
        <w:pStyle w:val="2"/>
        <w:ind w:firstLine="569" w:firstLineChars="189"/>
        <w:rPr>
          <w:rFonts w:ascii="仿宋" w:hAnsi="仿宋" w:eastAsia="仿宋" w:cs="仿宋"/>
          <w:b/>
          <w:bCs/>
          <w:color w:val="000000" w:themeColor="text1"/>
          <w:sz w:val="30"/>
          <w:szCs w:val="30"/>
          <w14:textFill>
            <w14:solidFill>
              <w14:schemeClr w14:val="tx1"/>
            </w14:solidFill>
          </w14:textFill>
        </w:rPr>
      </w:pPr>
      <w:r>
        <w:rPr>
          <w:rFonts w:ascii="仿宋" w:hAnsi="仿宋" w:eastAsia="仿宋" w:cs="仿宋"/>
          <w:b/>
          <w:bCs/>
          <w:color w:val="000000" w:themeColor="text1"/>
          <w:sz w:val="30"/>
          <w:szCs w:val="30"/>
          <w14:textFill>
            <w14:solidFill>
              <w14:schemeClr w14:val="tx1"/>
            </w14:solidFill>
          </w14:textFill>
        </w:rPr>
        <w:t>2</w:t>
      </w:r>
      <w:r>
        <w:rPr>
          <w:rFonts w:hint="eastAsia" w:ascii="仿宋" w:hAnsi="仿宋" w:eastAsia="仿宋" w:cs="仿宋"/>
          <w:b/>
          <w:bCs/>
          <w:color w:val="000000" w:themeColor="text1"/>
          <w:sz w:val="30"/>
          <w:szCs w:val="30"/>
          <w14:textFill>
            <w14:solidFill>
              <w14:schemeClr w14:val="tx1"/>
            </w14:solidFill>
          </w14:textFill>
        </w:rPr>
        <w:t>、数据仓建设及数据治理工程</w:t>
      </w:r>
    </w:p>
    <w:p>
      <w:pPr>
        <w:ind w:firstLine="597" w:firstLineChars="199"/>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计划投入0.5亿元</w:t>
      </w:r>
      <w:r>
        <w:rPr>
          <w:rFonts w:hint="eastAsia" w:ascii="仿宋" w:hAnsi="仿宋" w:eastAsia="仿宋" w:cs="仿宋"/>
          <w:color w:val="000000" w:themeColor="text1"/>
          <w:sz w:val="30"/>
          <w:szCs w:val="30"/>
          <w14:textFill>
            <w14:solidFill>
              <w14:schemeClr w14:val="tx1"/>
            </w14:solidFill>
          </w14:textFill>
        </w:rPr>
        <w:t>全面整合现有水利信息资源，按照省水利数据仓技术标准，形成基础数据资源目录和业务数据资源目录，对现有水利数据资源进行汇聚、归集、清洗，完成县级水利数据仓建设和水利数据治理。智慧水利综合管理平台（水管理平台）涉及的数据100%录入水利数据仓，实现“一数一源、一数一责”的管理目标。</w:t>
      </w:r>
    </w:p>
    <w:p>
      <w:pPr>
        <w:pStyle w:val="2"/>
        <w:ind w:firstLine="602"/>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3、业务应用体系建设</w:t>
      </w:r>
    </w:p>
    <w:p>
      <w:pPr>
        <w:pStyle w:val="2"/>
        <w:ind w:firstLine="6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按照省水管理平台“六大核心业务”应用建设要求，在省级统建应用的基础上，完成统一门户、统一地图、统一用户建设，已有业务应用整合和新建业务应用，建成覆盖</w:t>
      </w:r>
      <w:r>
        <w:rPr>
          <w:rFonts w:hint="eastAsia" w:ascii="仿宋" w:hAnsi="仿宋" w:eastAsia="仿宋" w:cs="仿宋"/>
          <w:color w:val="000000" w:themeColor="text1"/>
          <w:sz w:val="30"/>
          <w:szCs w:val="30"/>
          <w:lang w:eastAsia="zh-CN"/>
          <w14:textFill>
            <w14:solidFill>
              <w14:schemeClr w14:val="tx1"/>
            </w14:solidFill>
          </w14:textFill>
        </w:rPr>
        <w:t>云和县</w:t>
      </w:r>
      <w:r>
        <w:rPr>
          <w:rFonts w:hint="eastAsia" w:ascii="仿宋" w:hAnsi="仿宋" w:eastAsia="仿宋" w:cs="仿宋"/>
          <w:color w:val="000000" w:themeColor="text1"/>
          <w:sz w:val="30"/>
          <w:szCs w:val="30"/>
          <w14:textFill>
            <w14:solidFill>
              <w14:schemeClr w14:val="tx1"/>
            </w14:solidFill>
          </w14:textFill>
        </w:rPr>
        <w:t>所有水利业务的统一工作平台。对接县政务服务网，实现水利核心业务网上办、掌上办，水利监管精准化、管理精细化、决策科学化水平显著提升。</w:t>
      </w:r>
    </w:p>
    <w:p>
      <w:pPr>
        <w:pStyle w:val="4"/>
        <w:ind w:firstLine="602"/>
        <w:rPr>
          <w:rFonts w:hint="eastAsia" w:ascii="仿宋" w:hAnsi="仿宋" w:cs="仿宋"/>
          <w:color w:val="000000" w:themeColor="text1"/>
          <w:szCs w:val="30"/>
          <w:lang w:val="en-US" w:eastAsia="zh-CN"/>
          <w14:textFill>
            <w14:solidFill>
              <w14:schemeClr w14:val="tx1"/>
            </w14:solidFill>
          </w14:textFill>
        </w:rPr>
      </w:pPr>
      <w:bookmarkStart w:id="52" w:name="_Toc15584"/>
      <w:r>
        <w:rPr>
          <w:rFonts w:hint="eastAsia" w:ascii="仿宋" w:hAnsi="仿宋" w:cs="仿宋"/>
          <w:color w:val="000000" w:themeColor="text1"/>
          <w:szCs w:val="30"/>
          <w:lang w:val="en-US" w:eastAsia="zh-CN"/>
          <w14:textFill>
            <w14:solidFill>
              <w14:schemeClr w14:val="tx1"/>
            </w14:solidFill>
          </w14:textFill>
        </w:rPr>
        <w:t>3.2 高效能推进水治理能力现代化</w:t>
      </w:r>
      <w:bookmarkEnd w:id="52"/>
    </w:p>
    <w:p>
      <w:pPr>
        <w:ind w:firstLine="600"/>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坚持效果导向强监管，创新管水思路、管水方略和管水制度，持续推进水旱灾害风险管理、水资源管理、水利工程管理、河湖水域管护、水土保持监管与改革、水利监管等重点领域管理改革，提升涉水事务监管水平，把制度优势转化为治理效能；加强科技创新和人才培养，激发水利发展动能和治理效能。</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3.2.1 加强水旱灾害风险管理</w:t>
      </w:r>
    </w:p>
    <w:p>
      <w:pPr>
        <w:ind w:firstLine="600"/>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增强忧患意识，强化底线思维，加强水旱灾害风险管理，全面提升防汛防台预警决策水平，进一步减轻害损失。</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1、</w:t>
      </w:r>
      <w:r>
        <w:rPr>
          <w:rFonts w:eastAsia="仿宋"/>
          <w:b/>
          <w:color w:val="000000" w:themeColor="text1"/>
          <w:sz w:val="30"/>
          <w:szCs w:val="30"/>
          <w14:textFill>
            <w14:solidFill>
              <w14:schemeClr w14:val="tx1"/>
            </w14:solidFill>
          </w14:textFill>
        </w:rPr>
        <w:t>开展水旱灾害风险普查</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根据《</w:t>
      </w:r>
      <w:r>
        <w:rPr>
          <w:rFonts w:hint="eastAsia" w:eastAsia="仿宋"/>
          <w:color w:val="000000" w:themeColor="text1"/>
          <w:sz w:val="30"/>
          <w:szCs w:val="30"/>
          <w14:textFill>
            <w14:solidFill>
              <w14:schemeClr w14:val="tx1"/>
            </w14:solidFill>
          </w14:textFill>
        </w:rPr>
        <w:t>浙江省第一次自然灾害综合风险普查工作方案》</w:t>
      </w:r>
      <w:r>
        <w:rPr>
          <w:rFonts w:eastAsia="仿宋"/>
          <w:color w:val="000000" w:themeColor="text1"/>
          <w:sz w:val="30"/>
          <w:szCs w:val="30"/>
          <w14:textFill>
            <w14:solidFill>
              <w14:schemeClr w14:val="tx1"/>
            </w14:solidFill>
          </w14:textFill>
        </w:rPr>
        <w:t>要求，开展干旱危险性调查、洪水灾害、致灾原因、隐患调查以及山丘区重点城集镇山洪风险调查</w:t>
      </w:r>
      <w:r>
        <w:rPr>
          <w:rFonts w:hint="eastAsia" w:eastAsia="仿宋"/>
          <w:color w:val="000000" w:themeColor="text1"/>
          <w:sz w:val="30"/>
          <w:szCs w:val="30"/>
          <w14:textFill>
            <w14:solidFill>
              <w14:schemeClr w14:val="tx1"/>
            </w14:solidFill>
          </w14:textFill>
        </w:rPr>
        <w:t>，并绘制水旱灾害风险一张图</w:t>
      </w:r>
      <w:r>
        <w:rPr>
          <w:rFonts w:eastAsia="仿宋"/>
          <w:color w:val="000000" w:themeColor="text1"/>
          <w:sz w:val="30"/>
          <w:szCs w:val="30"/>
          <w14:textFill>
            <w14:solidFill>
              <w14:schemeClr w14:val="tx1"/>
            </w14:solidFill>
          </w14:textFill>
        </w:rPr>
        <w:t>。在开展山丘区重点城集镇山洪风险调查的过程中，结合浙江省山洪灾害防治项目（2021~2023年）同步实施。</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2、</w:t>
      </w:r>
      <w:r>
        <w:rPr>
          <w:rFonts w:eastAsia="仿宋"/>
          <w:b/>
          <w:color w:val="000000" w:themeColor="text1"/>
          <w:sz w:val="30"/>
          <w:szCs w:val="30"/>
          <w14:textFill>
            <w14:solidFill>
              <w14:schemeClr w14:val="tx1"/>
            </w14:solidFill>
          </w14:textFill>
        </w:rPr>
        <w:t>完善水旱灾害防御预案体系</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加强顶层设计，修订完善水旱灾害防御应急等工作预案，制定超标准洪涝灾害对策措施，加强应急准备，积极开展各类预案修编和演练，确保预案方案体系完备、简明实用；完善指挥体系，强化责任落实，深化隐患整改；加强日常管理，夯实防汛防台抗旱基础保障。</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3、</w:t>
      </w:r>
      <w:r>
        <w:rPr>
          <w:rFonts w:eastAsia="仿宋"/>
          <w:b/>
          <w:color w:val="000000" w:themeColor="text1"/>
          <w:sz w:val="30"/>
          <w:szCs w:val="30"/>
          <w14:textFill>
            <w14:solidFill>
              <w14:schemeClr w14:val="tx1"/>
            </w14:solidFill>
          </w14:textFill>
        </w:rPr>
        <w:t>提高水旱灾害应急处理能力</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根据水旱灾害防御的职责，优化、落实防汛抢险物资储备点，及时补充防汛抢险物资，持续推进防汛抢险物资精细化管理，构建布局合理、响应及时、保障有力的水利工程防汛抢险物资储备格局；依托社会力量，结合乡镇、应急管理等部门，落实水利工程应急抢险队伍；加强水旱灾害知识宣传和基层责任人水利专业知识培训，全面提升水旱灾害风险识别、研判、预警、管控和处置能力。</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4、</w:t>
      </w:r>
      <w:r>
        <w:rPr>
          <w:rFonts w:eastAsia="仿宋"/>
          <w:b/>
          <w:color w:val="000000" w:themeColor="text1"/>
          <w:sz w:val="30"/>
          <w:szCs w:val="30"/>
          <w14:textFill>
            <w14:solidFill>
              <w14:schemeClr w14:val="tx1"/>
            </w14:solidFill>
          </w14:textFill>
        </w:rPr>
        <w:t>科学防治山洪灾害</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重点针对山区村庄分布的区域，完善山洪灾害监测预警体系，建立气象、水利、自然资源等部门联合的监测预警信息共享平台和短时临近预警应急联动机制，明确巡查、监测和预警人员，切实提高山洪地质灾害监测预警水平和应急处置能力；开发实时监测和短临预报相结合的山洪灾害预警平台，雨量与水位两类预警指标并行，监测预警和预报预警融合，丰富预警手段，提高预警时效，为山洪灾害危险区域人员梯次转移提供参考。</w:t>
      </w:r>
    </w:p>
    <w:p>
      <w:pPr>
        <w:ind w:firstLine="602"/>
        <w:rPr>
          <w:rFonts w:eastAsia="仿宋"/>
          <w:b/>
          <w:bCs/>
          <w:color w:val="000000" w:themeColor="text1"/>
          <w:sz w:val="30"/>
          <w:szCs w:val="30"/>
          <w14:textFill>
            <w14:solidFill>
              <w14:schemeClr w14:val="tx1"/>
            </w14:solidFill>
          </w14:textFill>
        </w:rPr>
      </w:pPr>
      <w:r>
        <w:rPr>
          <w:rFonts w:hint="eastAsia" w:eastAsia="仿宋"/>
          <w:b/>
          <w:bCs/>
          <w:color w:val="000000" w:themeColor="text1"/>
          <w:sz w:val="30"/>
          <w:szCs w:val="30"/>
          <w:lang w:val="en-US" w:eastAsia="zh-CN"/>
          <w14:textFill>
            <w14:solidFill>
              <w14:schemeClr w14:val="tx1"/>
            </w14:solidFill>
          </w14:textFill>
        </w:rPr>
        <w:t>5、</w:t>
      </w:r>
      <w:r>
        <w:rPr>
          <w:rFonts w:eastAsia="仿宋"/>
          <w:b/>
          <w:bCs/>
          <w:color w:val="000000" w:themeColor="text1"/>
          <w:sz w:val="30"/>
          <w:szCs w:val="30"/>
          <w14:textFill>
            <w14:solidFill>
              <w14:schemeClr w14:val="tx1"/>
            </w14:solidFill>
          </w14:textFill>
        </w:rPr>
        <w:t>加强干旱致灾管理</w:t>
      </w:r>
    </w:p>
    <w:p>
      <w:pPr>
        <w:ind w:firstLine="602"/>
        <w:rPr>
          <w:rFonts w:eastAsia="仿宋"/>
          <w:color w:val="000000" w:themeColor="text1"/>
          <w:sz w:val="30"/>
          <w:szCs w:val="30"/>
          <w14:textFill>
            <w14:solidFill>
              <w14:schemeClr w14:val="tx1"/>
            </w14:solidFill>
          </w14:textFill>
        </w:rPr>
      </w:pPr>
      <w:r>
        <w:rPr>
          <w:rFonts w:hint="eastAsia" w:eastAsia="仿宋"/>
          <w:b w:val="0"/>
          <w:bCs w:val="0"/>
          <w:color w:val="000000" w:themeColor="text1"/>
          <w:sz w:val="30"/>
          <w:szCs w:val="30"/>
          <w:lang w:val="en-US" w:eastAsia="zh-CN"/>
          <w14:textFill>
            <w14:solidFill>
              <w14:schemeClr w14:val="tx1"/>
            </w14:solidFill>
          </w14:textFill>
        </w:rPr>
        <w:t>根据《浙江省水利旱情预警管理办法（试行）》，</w:t>
      </w:r>
      <w:r>
        <w:rPr>
          <w:rFonts w:hint="eastAsia" w:eastAsia="仿宋"/>
          <w:color w:val="000000" w:themeColor="text1"/>
          <w:sz w:val="30"/>
          <w:szCs w:val="30"/>
          <w:lang w:val="en-US" w:eastAsia="zh-CN"/>
          <w14:textFill>
            <w14:solidFill>
              <w14:schemeClr w14:val="tx1"/>
            </w14:solidFill>
          </w14:textFill>
        </w:rPr>
        <w:t>加强对干旱的了解，</w:t>
      </w:r>
      <w:r>
        <w:rPr>
          <w:rFonts w:eastAsia="仿宋"/>
          <w:color w:val="000000" w:themeColor="text1"/>
          <w:sz w:val="30"/>
          <w:szCs w:val="30"/>
          <w14:textFill>
            <w14:solidFill>
              <w14:schemeClr w14:val="tx1"/>
            </w14:solidFill>
          </w14:textFill>
        </w:rPr>
        <w:t>及时发布干旱预警，</w:t>
      </w:r>
      <w:r>
        <w:rPr>
          <w:rFonts w:hint="eastAsia" w:eastAsia="仿宋"/>
          <w:color w:val="000000" w:themeColor="text1"/>
          <w:sz w:val="30"/>
          <w:szCs w:val="30"/>
          <w:lang w:val="en-US" w:eastAsia="zh-CN"/>
          <w14:textFill>
            <w14:solidFill>
              <w14:schemeClr w14:val="tx1"/>
            </w14:solidFill>
          </w14:textFill>
        </w:rPr>
        <w:t>加强干旱缺水量计算和干旱预测，对干旱进行科学管理，调整用水结构，提高用水效率，建立科学的防灾减灾体系，保障水资源合理利用，将旱灾损失降到最低，促进区域经济产生更大的社会、经济和环境效益</w:t>
      </w:r>
      <w:r>
        <w:rPr>
          <w:rFonts w:eastAsia="仿宋"/>
          <w:color w:val="000000" w:themeColor="text1"/>
          <w:sz w:val="30"/>
          <w:szCs w:val="30"/>
          <w14:textFill>
            <w14:solidFill>
              <w14:schemeClr w14:val="tx1"/>
            </w14:solidFill>
          </w14:textFill>
        </w:rPr>
        <w:t>。</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3.2.2 加强水资源管理</w:t>
      </w:r>
    </w:p>
    <w:p>
      <w:pPr>
        <w:ind w:firstLine="600"/>
        <w:rPr>
          <w:rFonts w:ascii="仿宋" w:hAnsi="仿宋" w:eastAsia="仿宋" w:cs="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深入贯彻节水优先方针</w:t>
      </w:r>
      <w:r>
        <w:rPr>
          <w:rFonts w:hint="eastAsia" w:eastAsia="仿宋"/>
          <w:color w:val="000000" w:themeColor="text1"/>
          <w:sz w:val="30"/>
          <w:szCs w:val="30"/>
          <w14:textFill>
            <w14:solidFill>
              <w14:schemeClr w14:val="tx1"/>
            </w14:solidFill>
          </w14:textFill>
        </w:rPr>
        <w:t>，</w:t>
      </w:r>
      <w:r>
        <w:rPr>
          <w:rFonts w:eastAsia="仿宋"/>
          <w:color w:val="000000" w:themeColor="text1"/>
          <w:sz w:val="30"/>
          <w:szCs w:val="30"/>
          <w14:textFill>
            <w14:solidFill>
              <w14:schemeClr w14:val="tx1"/>
            </w14:solidFill>
          </w14:textFill>
        </w:rPr>
        <w:t>编制水资源节约保护与开发利用总体规划、节水十四五规划，将节水贯穿到经济社会发展全过程和各领域。</w:t>
      </w:r>
      <w:r>
        <w:rPr>
          <w:rFonts w:hint="eastAsia" w:ascii="仿宋" w:hAnsi="仿宋" w:eastAsia="仿宋" w:cs="仿宋"/>
          <w:color w:val="000000" w:themeColor="text1"/>
          <w:sz w:val="30"/>
          <w:szCs w:val="30"/>
          <w14:textFill>
            <w14:solidFill>
              <w14:schemeClr w14:val="tx1"/>
            </w14:solidFill>
          </w14:textFill>
        </w:rPr>
        <w:t>深入实施浙江省节水行动，树立“节水减排”理念，进行全</w:t>
      </w:r>
      <w:r>
        <w:rPr>
          <w:rFonts w:hint="eastAsia" w:ascii="仿宋" w:hAnsi="仿宋" w:eastAsia="仿宋" w:cs="仿宋"/>
          <w:color w:val="000000" w:themeColor="text1"/>
          <w:sz w:val="30"/>
          <w:szCs w:val="30"/>
          <w:lang w:val="en-US" w:eastAsia="zh-CN"/>
          <w14:textFill>
            <w14:solidFill>
              <w14:schemeClr w14:val="tx1"/>
            </w14:solidFill>
          </w14:textFill>
        </w:rPr>
        <w:t>县</w:t>
      </w:r>
      <w:r>
        <w:rPr>
          <w:rFonts w:hint="eastAsia" w:ascii="仿宋" w:hAnsi="仿宋" w:eastAsia="仿宋" w:cs="仿宋"/>
          <w:color w:val="000000" w:themeColor="text1"/>
          <w:sz w:val="30"/>
          <w:szCs w:val="30"/>
          <w14:textFill>
            <w14:solidFill>
              <w14:schemeClr w14:val="tx1"/>
            </w14:solidFill>
          </w14:textFill>
        </w:rPr>
        <w:t>用水总量控制；全面推进节水型社会建设，统筹协调，加强考核。继续深化实行最严格水资源管理，完善规划和建设项目水资源论证制度，全面实施取水许可电子证照管理；建立水资源节约保护和开发利用评价指标体系，定期开展评价并予以公布。</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3.2.3 加强水利工程运行管理</w:t>
      </w:r>
    </w:p>
    <w:p>
      <w:pPr>
        <w:ind w:firstLine="600"/>
        <w:rPr>
          <w:rFonts w:eastAsia="仿宋"/>
          <w:color w:val="000000" w:themeColor="text1"/>
          <w:sz w:val="30"/>
          <w:szCs w:val="30"/>
          <w14:textFill>
            <w14:solidFill>
              <w14:schemeClr w14:val="tx1"/>
            </w14:solidFill>
          </w14:textFill>
        </w:rPr>
      </w:pPr>
      <w:bookmarkStart w:id="53" w:name="_Hlk69456992"/>
      <w:r>
        <w:rPr>
          <w:rFonts w:eastAsia="仿宋"/>
          <w:color w:val="000000" w:themeColor="text1"/>
          <w:sz w:val="30"/>
          <w:szCs w:val="30"/>
          <w14:textFill>
            <w14:solidFill>
              <w14:schemeClr w14:val="tx1"/>
            </w14:solidFill>
          </w14:textFill>
        </w:rPr>
        <w:t>按照</w:t>
      </w:r>
      <w:r>
        <w:rPr>
          <w:rFonts w:hint="eastAsia" w:eastAsia="仿宋"/>
          <w:color w:val="000000" w:themeColor="text1"/>
          <w:sz w:val="30"/>
          <w:szCs w:val="30"/>
          <w14:textFill>
            <w14:solidFill>
              <w14:schemeClr w14:val="tx1"/>
            </w14:solidFill>
          </w14:textFill>
        </w:rPr>
        <w:t>“</w:t>
      </w:r>
      <w:r>
        <w:rPr>
          <w:rFonts w:eastAsia="仿宋"/>
          <w:color w:val="000000" w:themeColor="text1"/>
          <w:sz w:val="30"/>
          <w:szCs w:val="30"/>
          <w14:textFill>
            <w14:solidFill>
              <w14:schemeClr w14:val="tx1"/>
            </w14:solidFill>
          </w14:textFill>
        </w:rPr>
        <w:t>先进、精细、实用</w:t>
      </w:r>
      <w:r>
        <w:rPr>
          <w:rFonts w:hint="eastAsia" w:eastAsia="仿宋"/>
          <w:color w:val="000000" w:themeColor="text1"/>
          <w:sz w:val="30"/>
          <w:szCs w:val="30"/>
          <w14:textFill>
            <w14:solidFill>
              <w14:schemeClr w14:val="tx1"/>
            </w14:solidFill>
          </w14:textFill>
        </w:rPr>
        <w:t>”</w:t>
      </w:r>
      <w:r>
        <w:rPr>
          <w:rFonts w:eastAsia="仿宋"/>
          <w:color w:val="000000" w:themeColor="text1"/>
          <w:sz w:val="30"/>
          <w:szCs w:val="30"/>
          <w14:textFill>
            <w14:solidFill>
              <w14:schemeClr w14:val="tx1"/>
            </w14:solidFill>
          </w14:textFill>
        </w:rPr>
        <w:t>的要求</w:t>
      </w:r>
      <w:bookmarkEnd w:id="53"/>
      <w:r>
        <w:rPr>
          <w:rFonts w:eastAsia="仿宋"/>
          <w:color w:val="000000" w:themeColor="text1"/>
          <w:sz w:val="30"/>
          <w:szCs w:val="30"/>
          <w14:textFill>
            <w14:solidFill>
              <w14:schemeClr w14:val="tx1"/>
            </w14:solidFill>
          </w14:textFill>
        </w:rPr>
        <w:t>，</w:t>
      </w:r>
      <w:bookmarkStart w:id="54" w:name="_Hlk69457001"/>
      <w:r>
        <w:rPr>
          <w:rFonts w:eastAsia="仿宋"/>
          <w:color w:val="000000" w:themeColor="text1"/>
          <w:sz w:val="30"/>
          <w:szCs w:val="30"/>
          <w14:textFill>
            <w14:solidFill>
              <w14:schemeClr w14:val="tx1"/>
            </w14:solidFill>
          </w14:textFill>
        </w:rPr>
        <w:t>提升水利工程运行管理水平</w:t>
      </w:r>
      <w:bookmarkEnd w:id="54"/>
      <w:r>
        <w:rPr>
          <w:rFonts w:eastAsia="仿宋"/>
          <w:color w:val="000000" w:themeColor="text1"/>
          <w:sz w:val="30"/>
          <w:szCs w:val="30"/>
          <w14:textFill>
            <w14:solidFill>
              <w14:schemeClr w14:val="tx1"/>
            </w14:solidFill>
          </w14:textFill>
        </w:rPr>
        <w:t>，推进水利工程管理“产权化、物业化、数字化”改革；开展</w:t>
      </w:r>
      <w:bookmarkStart w:id="55" w:name="_Hlk57891800"/>
      <w:r>
        <w:rPr>
          <w:rFonts w:eastAsia="仿宋"/>
          <w:color w:val="000000" w:themeColor="text1"/>
          <w:sz w:val="30"/>
          <w:szCs w:val="30"/>
          <w14:textFill>
            <w14:solidFill>
              <w14:schemeClr w14:val="tx1"/>
            </w14:solidFill>
          </w14:textFill>
        </w:rPr>
        <w:t>安全鉴定超期存量清零行动</w:t>
      </w:r>
      <w:bookmarkEnd w:id="55"/>
      <w:r>
        <w:rPr>
          <w:rFonts w:eastAsia="仿宋"/>
          <w:color w:val="000000" w:themeColor="text1"/>
          <w:sz w:val="30"/>
          <w:szCs w:val="30"/>
          <w14:textFill>
            <w14:solidFill>
              <w14:schemeClr w14:val="tx1"/>
            </w14:solidFill>
          </w14:textFill>
        </w:rPr>
        <w:t>，升级改造工程管理设施。拓展水利公共服务均等化的范围，逐步实现小型水利工程县级统管。</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1、</w:t>
      </w:r>
      <w:r>
        <w:rPr>
          <w:rFonts w:eastAsia="仿宋"/>
          <w:b/>
          <w:color w:val="000000" w:themeColor="text1"/>
          <w:sz w:val="30"/>
          <w:szCs w:val="30"/>
          <w14:textFill>
            <w14:solidFill>
              <w14:schemeClr w14:val="tx1"/>
            </w14:solidFill>
          </w14:textFill>
        </w:rPr>
        <w:t>明晰水利工程产权</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在完成全域水利工程标准化创建的基础上，推动水利工程注册登记，对权利归属明晰、审批手续完备、已竣工验收、符合不动产登记条件的水利工程</w:t>
      </w:r>
      <w:r>
        <w:rPr>
          <w:rFonts w:hint="eastAsia" w:eastAsia="仿宋"/>
          <w:color w:val="000000" w:themeColor="text1"/>
          <w:sz w:val="30"/>
          <w:szCs w:val="30"/>
          <w14:textFill>
            <w14:solidFill>
              <w14:schemeClr w14:val="tx1"/>
            </w14:solidFill>
          </w14:textFill>
        </w:rPr>
        <w:t>，</w:t>
      </w:r>
      <w:r>
        <w:rPr>
          <w:rFonts w:eastAsia="仿宋"/>
          <w:color w:val="000000" w:themeColor="text1"/>
          <w:sz w:val="30"/>
          <w:szCs w:val="30"/>
          <w14:textFill>
            <w14:solidFill>
              <w14:schemeClr w14:val="tx1"/>
            </w14:solidFill>
          </w14:textFill>
        </w:rPr>
        <w:t>要求业主单位及时办理不动产登记，及时划定工程管理与保护范围，做到管理范围清晰，合理合法。</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2、</w:t>
      </w:r>
      <w:r>
        <w:rPr>
          <w:rFonts w:eastAsia="仿宋"/>
          <w:b/>
          <w:color w:val="000000" w:themeColor="text1"/>
          <w:sz w:val="30"/>
          <w:szCs w:val="30"/>
          <w14:textFill>
            <w14:solidFill>
              <w14:schemeClr w14:val="tx1"/>
            </w14:solidFill>
          </w14:textFill>
        </w:rPr>
        <w:t>推行物业化管理</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充分发挥市场作用，积极引导社会力量参与水利工程管护，建立健全物业管理市场监管体系，加强水利工程管护质量和服务效果检查考核，建立物业管理市场主体征信体系，保障水利工程物业管理市场健康发展。</w:t>
      </w:r>
    </w:p>
    <w:p>
      <w:pPr>
        <w:ind w:firstLine="602"/>
        <w:rPr>
          <w:rFonts w:eastAsia="仿宋"/>
          <w:b/>
          <w:bCs/>
          <w:color w:val="000000" w:themeColor="text1"/>
          <w:sz w:val="30"/>
          <w:szCs w:val="30"/>
          <w14:textFill>
            <w14:solidFill>
              <w14:schemeClr w14:val="tx1"/>
            </w14:solidFill>
          </w14:textFill>
        </w:rPr>
      </w:pPr>
      <w:r>
        <w:rPr>
          <w:rFonts w:hint="eastAsia" w:eastAsia="仿宋"/>
          <w:b/>
          <w:bCs/>
          <w:color w:val="000000" w:themeColor="text1"/>
          <w:sz w:val="30"/>
          <w:szCs w:val="30"/>
          <w:lang w:val="en-US" w:eastAsia="zh-CN"/>
          <w14:textFill>
            <w14:solidFill>
              <w14:schemeClr w14:val="tx1"/>
            </w14:solidFill>
          </w14:textFill>
        </w:rPr>
        <w:t>3、</w:t>
      </w:r>
      <w:r>
        <w:rPr>
          <w:rFonts w:eastAsia="仿宋"/>
          <w:b/>
          <w:bCs/>
          <w:color w:val="000000" w:themeColor="text1"/>
          <w:sz w:val="30"/>
          <w:szCs w:val="30"/>
          <w14:textFill>
            <w14:solidFill>
              <w14:schemeClr w14:val="tx1"/>
            </w14:solidFill>
          </w14:textFill>
        </w:rPr>
        <w:t>推行数字化管理</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实现水利工程工情感知能力全覆盖，建立数字化管理流程。</w:t>
      </w:r>
      <w:r>
        <w:rPr>
          <w:rFonts w:hint="eastAsia" w:eastAsia="仿宋"/>
          <w:color w:val="000000" w:themeColor="text1"/>
          <w:sz w:val="30"/>
          <w:szCs w:val="30"/>
          <w:lang w:val="en-US" w:eastAsia="zh-CN"/>
          <w14:textFill>
            <w14:solidFill>
              <w14:schemeClr w14:val="tx1"/>
            </w14:solidFill>
          </w14:textFill>
        </w:rPr>
        <w:t>打造</w:t>
      </w:r>
      <w:r>
        <w:rPr>
          <w:rFonts w:eastAsia="仿宋"/>
          <w:color w:val="000000" w:themeColor="text1"/>
          <w:sz w:val="30"/>
          <w:szCs w:val="30"/>
          <w14:textFill>
            <w14:solidFill>
              <w14:schemeClr w14:val="tx1"/>
            </w14:solidFill>
          </w14:textFill>
        </w:rPr>
        <w:t>工情、水情、雨情自动感知体系，多维度、全要素掌握工程安全运行状况。建立数字化管理流程，以工程管理规程（标准）为基础，按工程类别、规模、工作事项建立数字化管理流程。</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4、</w:t>
      </w:r>
      <w:r>
        <w:rPr>
          <w:rFonts w:eastAsia="仿宋"/>
          <w:b/>
          <w:color w:val="000000" w:themeColor="text1"/>
          <w:sz w:val="30"/>
          <w:szCs w:val="30"/>
          <w14:textFill>
            <w14:solidFill>
              <w14:schemeClr w14:val="tx1"/>
            </w14:solidFill>
          </w14:textFill>
        </w:rPr>
        <w:t>实施安全鉴定超期存量清零行动</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根据《水库大坝安全鉴定办法》，大坝实行定期安全鉴定制度，首次安全鉴定应在竣工验收后5年内进行，以后应每隔6～10年进行一次。对达到安全鉴定时间的水利工程及时进行安全鉴定。</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3.2.4 加强河湖水域管理</w:t>
      </w:r>
    </w:p>
    <w:p>
      <w:pPr>
        <w:ind w:firstLine="600"/>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持续深化落实河湖长制，继续深化河湖长制，</w:t>
      </w:r>
      <w:bookmarkStart w:id="56" w:name="_Hlk57892925"/>
      <w:r>
        <w:rPr>
          <w:rFonts w:eastAsia="仿宋"/>
          <w:color w:val="000000" w:themeColor="text1"/>
          <w:sz w:val="30"/>
          <w:szCs w:val="30"/>
          <w14:textFill>
            <w14:solidFill>
              <w14:schemeClr w14:val="tx1"/>
            </w14:solidFill>
          </w14:textFill>
        </w:rPr>
        <w:t>落实属地责任和部门责任</w:t>
      </w:r>
      <w:bookmarkEnd w:id="56"/>
      <w:r>
        <w:rPr>
          <w:rFonts w:eastAsia="仿宋"/>
          <w:color w:val="000000" w:themeColor="text1"/>
          <w:sz w:val="30"/>
          <w:szCs w:val="30"/>
          <w14:textFill>
            <w14:solidFill>
              <w14:schemeClr w14:val="tx1"/>
            </w14:solidFill>
          </w14:textFill>
        </w:rPr>
        <w:t>；编制水域保护规划</w:t>
      </w:r>
      <w:r>
        <w:rPr>
          <w:rFonts w:hint="eastAsia" w:eastAsia="仿宋"/>
          <w:color w:val="000000" w:themeColor="text1"/>
          <w:sz w:val="30"/>
          <w:szCs w:val="30"/>
          <w14:textFill>
            <w14:solidFill>
              <w14:schemeClr w14:val="tx1"/>
            </w14:solidFill>
          </w14:textFill>
        </w:rPr>
        <w:t>，</w:t>
      </w:r>
      <w:r>
        <w:rPr>
          <w:rFonts w:eastAsia="仿宋"/>
          <w:color w:val="000000" w:themeColor="text1"/>
          <w:sz w:val="30"/>
          <w:szCs w:val="30"/>
          <w14:textFill>
            <w14:solidFill>
              <w14:schemeClr w14:val="tx1"/>
            </w14:solidFill>
          </w14:textFill>
        </w:rPr>
        <w:t>科学划定河湖生态空间；借助卫星遥感、无人机航拍技术，充分动员基层和社会力量，动态管理全</w:t>
      </w:r>
      <w:r>
        <w:rPr>
          <w:rFonts w:hint="eastAsia" w:eastAsia="仿宋"/>
          <w:color w:val="000000" w:themeColor="text1"/>
          <w:sz w:val="30"/>
          <w:szCs w:val="30"/>
          <w:lang w:val="en-US" w:eastAsia="zh-CN"/>
          <w14:textFill>
            <w14:solidFill>
              <w14:schemeClr w14:val="tx1"/>
            </w14:solidFill>
          </w14:textFill>
        </w:rPr>
        <w:t>县</w:t>
      </w:r>
      <w:r>
        <w:rPr>
          <w:rFonts w:eastAsia="仿宋"/>
          <w:color w:val="000000" w:themeColor="text1"/>
          <w:sz w:val="30"/>
          <w:szCs w:val="30"/>
          <w14:textFill>
            <w14:solidFill>
              <w14:schemeClr w14:val="tx1"/>
            </w14:solidFill>
          </w14:textFill>
        </w:rPr>
        <w:t>水域。</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1、</w:t>
      </w:r>
      <w:r>
        <w:rPr>
          <w:rFonts w:eastAsia="仿宋"/>
          <w:b/>
          <w:color w:val="000000" w:themeColor="text1"/>
          <w:sz w:val="30"/>
          <w:szCs w:val="30"/>
          <w14:textFill>
            <w14:solidFill>
              <w14:schemeClr w14:val="tx1"/>
            </w14:solidFill>
          </w14:textFill>
        </w:rPr>
        <w:t>推进河湖长制提档升级</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进一步完善以行政区域划分为基础的“河长领衔、行政负责”和“条块结合、以块为主”的河长制模式，</w:t>
      </w:r>
      <w:bookmarkStart w:id="57" w:name="_Hlk57991470"/>
      <w:r>
        <w:rPr>
          <w:rFonts w:eastAsia="仿宋"/>
          <w:color w:val="000000" w:themeColor="text1"/>
          <w:sz w:val="30"/>
          <w:szCs w:val="30"/>
          <w14:textFill>
            <w14:solidFill>
              <w14:schemeClr w14:val="tx1"/>
            </w14:solidFill>
          </w14:textFill>
        </w:rPr>
        <w:t>落实属地责任和部门责任，强化水域日常监管，将河湖长效管护和基层网格化治理相结合，按照属地管理的原则，由所在地</w:t>
      </w:r>
      <w:r>
        <w:rPr>
          <w:rFonts w:hint="eastAsia" w:eastAsia="仿宋"/>
          <w:color w:val="000000" w:themeColor="text1"/>
          <w:sz w:val="30"/>
          <w:szCs w:val="30"/>
          <w:lang w:val="en-US" w:eastAsia="zh-CN"/>
          <w14:textFill>
            <w14:solidFill>
              <w14:schemeClr w14:val="tx1"/>
            </w14:solidFill>
          </w14:textFill>
        </w:rPr>
        <w:t>乡</w:t>
      </w:r>
      <w:r>
        <w:rPr>
          <w:rFonts w:eastAsia="仿宋"/>
          <w:color w:val="000000" w:themeColor="text1"/>
          <w:sz w:val="30"/>
          <w:szCs w:val="30"/>
          <w14:textFill>
            <w14:solidFill>
              <w14:schemeClr w14:val="tx1"/>
            </w14:solidFill>
          </w14:textFill>
        </w:rPr>
        <w:t>镇、街道安排专职人员开展巡查，发现河道水事违法案件及时制止、上报，饮用水源地、行洪干道等重要水域由</w:t>
      </w:r>
      <w:r>
        <w:rPr>
          <w:rFonts w:hint="eastAsia" w:eastAsia="仿宋"/>
          <w:color w:val="000000" w:themeColor="text1"/>
          <w:sz w:val="30"/>
          <w:szCs w:val="30"/>
          <w:lang w:val="en-US" w:eastAsia="zh-CN"/>
          <w14:textFill>
            <w14:solidFill>
              <w14:schemeClr w14:val="tx1"/>
            </w14:solidFill>
          </w14:textFill>
        </w:rPr>
        <w:t>县</w:t>
      </w:r>
      <w:r>
        <w:rPr>
          <w:rFonts w:eastAsia="仿宋"/>
          <w:color w:val="000000" w:themeColor="text1"/>
          <w:sz w:val="30"/>
          <w:szCs w:val="30"/>
          <w14:textFill>
            <w14:solidFill>
              <w14:schemeClr w14:val="tx1"/>
            </w14:solidFill>
          </w14:textFill>
        </w:rPr>
        <w:t>水利局会同公安局、综合执法局、丽水生态环境保护局</w:t>
      </w:r>
      <w:r>
        <w:rPr>
          <w:rFonts w:hint="eastAsia" w:eastAsia="仿宋"/>
          <w:color w:val="000000" w:themeColor="text1"/>
          <w:sz w:val="30"/>
          <w:szCs w:val="30"/>
          <w:lang w:val="en-US" w:eastAsia="zh-CN"/>
          <w14:textFill>
            <w14:solidFill>
              <w14:schemeClr w14:val="tx1"/>
            </w14:solidFill>
          </w14:textFill>
        </w:rPr>
        <w:t>云和</w:t>
      </w:r>
      <w:r>
        <w:rPr>
          <w:rFonts w:eastAsia="仿宋"/>
          <w:color w:val="000000" w:themeColor="text1"/>
          <w:sz w:val="30"/>
          <w:szCs w:val="30"/>
          <w14:textFill>
            <w14:solidFill>
              <w14:schemeClr w14:val="tx1"/>
            </w14:solidFill>
          </w14:textFill>
        </w:rPr>
        <w:t>分局等开展联合执法。</w:t>
      </w:r>
    </w:p>
    <w:bookmarkEnd w:id="57"/>
    <w:p>
      <w:pPr>
        <w:ind w:firstLine="602"/>
        <w:rPr>
          <w:rFonts w:hint="eastAsia"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2、</w:t>
      </w:r>
      <w:r>
        <w:rPr>
          <w:rFonts w:eastAsia="仿宋"/>
          <w:b/>
          <w:color w:val="000000" w:themeColor="text1"/>
          <w:sz w:val="30"/>
          <w:szCs w:val="30"/>
          <w14:textFill>
            <w14:solidFill>
              <w14:schemeClr w14:val="tx1"/>
            </w14:solidFill>
          </w14:textFill>
        </w:rPr>
        <w:t>运用</w:t>
      </w:r>
      <w:r>
        <w:rPr>
          <w:rFonts w:hint="eastAsia" w:eastAsia="仿宋"/>
          <w:b/>
          <w:color w:val="000000" w:themeColor="text1"/>
          <w:sz w:val="30"/>
          <w:szCs w:val="30"/>
          <w14:textFill>
            <w14:solidFill>
              <w14:schemeClr w14:val="tx1"/>
            </w14:solidFill>
          </w14:textFill>
        </w:rPr>
        <w:t>科技手段进行水域监控</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借助卫星遥感技术、无人机航拍，对全</w:t>
      </w:r>
      <w:r>
        <w:rPr>
          <w:rFonts w:hint="eastAsia" w:eastAsia="仿宋"/>
          <w:color w:val="000000" w:themeColor="text1"/>
          <w:sz w:val="30"/>
          <w:szCs w:val="30"/>
          <w:lang w:val="en-US" w:eastAsia="zh-CN"/>
          <w14:textFill>
            <w14:solidFill>
              <w14:schemeClr w14:val="tx1"/>
            </w14:solidFill>
          </w14:textFill>
        </w:rPr>
        <w:t>县</w:t>
      </w:r>
      <w:r>
        <w:rPr>
          <w:rFonts w:eastAsia="仿宋"/>
          <w:color w:val="000000" w:themeColor="text1"/>
          <w:sz w:val="30"/>
          <w:szCs w:val="30"/>
          <w14:textFill>
            <w14:solidFill>
              <w14:schemeClr w14:val="tx1"/>
            </w14:solidFill>
          </w14:textFill>
        </w:rPr>
        <w:t>范围内水域进行全覆盖动态管理，实时监控全</w:t>
      </w:r>
      <w:r>
        <w:rPr>
          <w:rFonts w:hint="eastAsia" w:eastAsia="仿宋"/>
          <w:color w:val="000000" w:themeColor="text1"/>
          <w:sz w:val="30"/>
          <w:szCs w:val="30"/>
          <w:lang w:val="en-US" w:eastAsia="zh-CN"/>
          <w14:textFill>
            <w14:solidFill>
              <w14:schemeClr w14:val="tx1"/>
            </w14:solidFill>
          </w14:textFill>
        </w:rPr>
        <w:t>县</w:t>
      </w:r>
      <w:r>
        <w:rPr>
          <w:rFonts w:eastAsia="仿宋"/>
          <w:color w:val="000000" w:themeColor="text1"/>
          <w:sz w:val="30"/>
          <w:szCs w:val="30"/>
          <w14:textFill>
            <w14:solidFill>
              <w14:schemeClr w14:val="tx1"/>
            </w14:solidFill>
          </w14:textFill>
        </w:rPr>
        <w:t>水域面积的异常波动，防止或提前制止占用水域情况发生。</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3、</w:t>
      </w:r>
      <w:r>
        <w:rPr>
          <w:rFonts w:eastAsia="仿宋"/>
          <w:b/>
          <w:color w:val="000000" w:themeColor="text1"/>
          <w:sz w:val="30"/>
          <w:szCs w:val="30"/>
          <w14:textFill>
            <w14:solidFill>
              <w14:schemeClr w14:val="tx1"/>
            </w14:solidFill>
          </w14:textFill>
        </w:rPr>
        <w:t>科学划定河湖生态空间</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编制重要河湖水域岸线保护与利用规划，完成水域保护规划修编，科学划分河湖岸线分区，进行分类管理，完善河湖空间管理制度</w:t>
      </w:r>
      <w:r>
        <w:rPr>
          <w:rFonts w:hint="eastAsia" w:eastAsia="仿宋"/>
          <w:color w:val="000000" w:themeColor="text1"/>
          <w:sz w:val="30"/>
          <w:szCs w:val="30"/>
          <w:lang w:eastAsia="zh-CN"/>
          <w14:textFill>
            <w14:solidFill>
              <w14:schemeClr w14:val="tx1"/>
            </w14:solidFill>
          </w14:textFill>
        </w:rPr>
        <w:t>，</w:t>
      </w:r>
      <w:r>
        <w:rPr>
          <w:rFonts w:hint="eastAsia" w:eastAsia="仿宋"/>
          <w:color w:val="000000" w:themeColor="text1"/>
          <w:sz w:val="30"/>
          <w:szCs w:val="30"/>
          <w:lang w:val="en-US" w:eastAsia="zh-CN"/>
          <w14:textFill>
            <w14:solidFill>
              <w14:schemeClr w14:val="tx1"/>
            </w14:solidFill>
          </w14:textFill>
        </w:rPr>
        <w:t>并</w:t>
      </w:r>
      <w:r>
        <w:rPr>
          <w:rFonts w:eastAsia="仿宋"/>
          <w:color w:val="000000" w:themeColor="text1"/>
          <w:sz w:val="30"/>
          <w:szCs w:val="30"/>
          <w14:textFill>
            <w14:solidFill>
              <w14:schemeClr w14:val="tx1"/>
            </w14:solidFill>
          </w14:textFill>
        </w:rPr>
        <w:t>引导社会力量参与河湖水域岸线空间管护和水事行为监管</w:t>
      </w:r>
      <w:r>
        <w:rPr>
          <w:rFonts w:hint="eastAsia" w:eastAsia="仿宋"/>
          <w:color w:val="000000" w:themeColor="text1"/>
          <w:sz w:val="30"/>
          <w:szCs w:val="30"/>
          <w14:textFill>
            <w14:solidFill>
              <w14:schemeClr w14:val="tx1"/>
            </w14:solidFill>
          </w14:textFill>
        </w:rPr>
        <w:t>。</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3.2.5 加强水土保持监管</w:t>
      </w:r>
    </w:p>
    <w:p>
      <w:pPr>
        <w:ind w:firstLine="600"/>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遵循生产建设项目水土保持监管机制、监管力度、监管频次、监管手段“四强化”原则，重点实施“天地一体化”监管手段提升，精准掌握辖区内生产建设项目的地表扰动、水土流失和违法行为。</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1、</w:t>
      </w:r>
      <w:r>
        <w:rPr>
          <w:rFonts w:eastAsia="仿宋"/>
          <w:b/>
          <w:color w:val="000000" w:themeColor="text1"/>
          <w:sz w:val="30"/>
          <w:szCs w:val="30"/>
          <w14:textFill>
            <w14:solidFill>
              <w14:schemeClr w14:val="tx1"/>
            </w14:solidFill>
          </w14:textFill>
        </w:rPr>
        <w:t>规范水保方案审批</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力争实现申报单位“跑零次”“不见面”即可办理。建立专家库，提高审批质量。强化水土保持方案的刚性约束，对不符合生态保护和水土保持要求的项目，坚决不予审批。</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2、</w:t>
      </w:r>
      <w:r>
        <w:rPr>
          <w:rFonts w:eastAsia="仿宋"/>
          <w:b/>
          <w:color w:val="000000" w:themeColor="text1"/>
          <w:sz w:val="30"/>
          <w:szCs w:val="30"/>
          <w14:textFill>
            <w14:solidFill>
              <w14:schemeClr w14:val="tx1"/>
            </w14:solidFill>
          </w14:textFill>
        </w:rPr>
        <w:t>强化事中事后监管</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组织生产建设项目水土保持专项检查，积极开展“天地一体化”监管，充分运用高分辨率遥感影像、无人机航拍等地理信息技术手段，准确掌握辖区内生产建设项目的地表扰动、水土流失和违法行为，提高监管水平。组织生产建设项目落实水土保持方案专项或动态检查。</w:t>
      </w:r>
    </w:p>
    <w:p>
      <w:pPr>
        <w:ind w:firstLine="602"/>
        <w:rPr>
          <w:rFonts w:eastAsia="仿宋"/>
          <w:b/>
          <w:color w:val="000000" w:themeColor="text1"/>
          <w:sz w:val="30"/>
          <w:szCs w:val="30"/>
          <w14:textFill>
            <w14:solidFill>
              <w14:schemeClr w14:val="tx1"/>
            </w14:solidFill>
          </w14:textFill>
        </w:rPr>
      </w:pPr>
      <w:r>
        <w:rPr>
          <w:rFonts w:hint="eastAsia" w:eastAsia="仿宋"/>
          <w:b/>
          <w:color w:val="000000" w:themeColor="text1"/>
          <w:sz w:val="30"/>
          <w:szCs w:val="30"/>
          <w:lang w:val="en-US" w:eastAsia="zh-CN"/>
          <w14:textFill>
            <w14:solidFill>
              <w14:schemeClr w14:val="tx1"/>
            </w14:solidFill>
          </w14:textFill>
        </w:rPr>
        <w:t>3、</w:t>
      </w:r>
      <w:r>
        <w:rPr>
          <w:rFonts w:eastAsia="仿宋"/>
          <w:b/>
          <w:color w:val="000000" w:themeColor="text1"/>
          <w:sz w:val="30"/>
          <w:szCs w:val="30"/>
          <w14:textFill>
            <w14:solidFill>
              <w14:schemeClr w14:val="tx1"/>
            </w14:solidFill>
          </w14:textFill>
        </w:rPr>
        <w:t>做好验收报备核查</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认真组织水土保持措施实施情况现场核查，对于水土保持措施落实不到位、防治目标未实现的，会同相关部门严肃查处，督促建设单位做好整改。</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3.2.6 加强水利工程建设管理</w:t>
      </w:r>
    </w:p>
    <w:p>
      <w:pPr>
        <w:ind w:firstLine="600"/>
        <w:rPr>
          <w:rFonts w:eastAsia="仿宋"/>
          <w:color w:val="000000" w:themeColor="text1"/>
          <w:sz w:val="30"/>
          <w:szCs w:val="30"/>
          <w14:textFill>
            <w14:solidFill>
              <w14:schemeClr w14:val="tx1"/>
            </w14:solidFill>
          </w14:textFill>
        </w:rPr>
      </w:pPr>
      <w:bookmarkStart w:id="58" w:name="_Hlk69458223"/>
      <w:r>
        <w:rPr>
          <w:rFonts w:eastAsia="仿宋"/>
          <w:color w:val="000000" w:themeColor="text1"/>
          <w:sz w:val="30"/>
          <w:szCs w:val="30"/>
          <w14:textFill>
            <w14:solidFill>
              <w14:schemeClr w14:val="tx1"/>
            </w14:solidFill>
          </w14:textFill>
        </w:rPr>
        <w:t>树立质量为导向的建设理念</w:t>
      </w:r>
      <w:r>
        <w:rPr>
          <w:rFonts w:hint="eastAsia" w:eastAsia="仿宋"/>
          <w:color w:val="000000" w:themeColor="text1"/>
          <w:sz w:val="30"/>
          <w:szCs w:val="30"/>
          <w14:textFill>
            <w14:solidFill>
              <w14:schemeClr w14:val="tx1"/>
            </w14:solidFill>
          </w14:textFill>
        </w:rPr>
        <w:t>，</w:t>
      </w:r>
      <w:r>
        <w:rPr>
          <w:rFonts w:eastAsia="仿宋"/>
          <w:color w:val="000000" w:themeColor="text1"/>
          <w:sz w:val="30"/>
          <w:szCs w:val="30"/>
          <w14:textFill>
            <w14:solidFill>
              <w14:schemeClr w14:val="tx1"/>
            </w14:solidFill>
          </w14:textFill>
        </w:rPr>
        <w:t>从设计理念、技术标准、建设材料及资金投入等方面促进水利工程建设质量不断提升；注重发挥水利工程建设的引领作用，带动水利应用科学研究和水利信息化，为加强工程管理、传承弘扬水文化创造基础条件；完善水利建设质量管理体系，提升参建各方质量意识。深化项目前期论证，重视水文、地勘等基础工作；深入剖析项目制约因素，加强部门间的前期协同；积极推广总承包、全过程咨询、代建制等新型建管模式；加强水利建设资金监管；有序开展项目竣工验收和后评价，不断提高项目决策水平和投资效果。加大工程建设中安全设施的投入；建立健全安全责任清单，落实水利工程安全生产责任；持续开展重大水利工程文明标化工地创建。</w:t>
      </w:r>
    </w:p>
    <w:bookmarkEnd w:id="58"/>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3.2.7 加强水利科技支撑</w:t>
      </w:r>
    </w:p>
    <w:p>
      <w:pPr>
        <w:ind w:firstLine="600"/>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围绕</w:t>
      </w:r>
      <w:r>
        <w:rPr>
          <w:rFonts w:hint="eastAsia" w:eastAsia="仿宋"/>
          <w:color w:val="000000" w:themeColor="text1"/>
          <w:sz w:val="30"/>
          <w:szCs w:val="30"/>
          <w:lang w:val="en-US" w:eastAsia="zh-CN"/>
          <w14:textFill>
            <w14:solidFill>
              <w14:schemeClr w14:val="tx1"/>
            </w14:solidFill>
          </w14:textFill>
        </w:rPr>
        <w:t>云和水利发展</w:t>
      </w:r>
      <w:r>
        <w:rPr>
          <w:rFonts w:eastAsia="仿宋"/>
          <w:color w:val="000000" w:themeColor="text1"/>
          <w:sz w:val="30"/>
          <w:szCs w:val="30"/>
          <w14:textFill>
            <w14:solidFill>
              <w14:schemeClr w14:val="tx1"/>
            </w14:solidFill>
          </w14:textFill>
        </w:rPr>
        <w:t>的重点环节，从“适度超前”的角度出发，开展三大专题研究为引领，创新工程带科研机制，为科学治水管水兴水提供水利科技支撑。</w:t>
      </w:r>
    </w:p>
    <w:p>
      <w:pPr>
        <w:ind w:firstLine="602"/>
        <w:rPr>
          <w:rFonts w:eastAsia="仿宋"/>
          <w:b/>
          <w:bCs/>
          <w:color w:val="000000" w:themeColor="text1"/>
          <w:sz w:val="30"/>
          <w:szCs w:val="30"/>
          <w14:textFill>
            <w14:solidFill>
              <w14:schemeClr w14:val="tx1"/>
            </w14:solidFill>
          </w14:textFill>
        </w:rPr>
      </w:pPr>
      <w:r>
        <w:rPr>
          <w:rFonts w:hint="eastAsia" w:eastAsia="仿宋"/>
          <w:b/>
          <w:bCs/>
          <w:color w:val="000000" w:themeColor="text1"/>
          <w:sz w:val="30"/>
          <w:szCs w:val="30"/>
          <w:lang w:val="en-US" w:eastAsia="zh-CN"/>
          <w14:textFill>
            <w14:solidFill>
              <w14:schemeClr w14:val="tx1"/>
            </w14:solidFill>
          </w14:textFill>
        </w:rPr>
        <w:t>1、</w:t>
      </w:r>
      <w:r>
        <w:rPr>
          <w:rFonts w:eastAsia="仿宋"/>
          <w:b/>
          <w:bCs/>
          <w:color w:val="000000" w:themeColor="text1"/>
          <w:sz w:val="30"/>
          <w:szCs w:val="30"/>
          <w14:textFill>
            <w14:solidFill>
              <w14:schemeClr w14:val="tx1"/>
            </w14:solidFill>
          </w14:textFill>
        </w:rPr>
        <w:t>水文化品牌建设</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系统谋划区域水文化品牌和水文化产品，推进“瓯江山水诗路”水文化带建设。</w:t>
      </w:r>
    </w:p>
    <w:p>
      <w:pPr>
        <w:ind w:firstLine="602"/>
        <w:rPr>
          <w:rFonts w:eastAsia="仿宋"/>
          <w:b/>
          <w:bCs/>
          <w:color w:val="000000" w:themeColor="text1"/>
          <w:sz w:val="30"/>
          <w:szCs w:val="30"/>
          <w14:textFill>
            <w14:solidFill>
              <w14:schemeClr w14:val="tx1"/>
            </w14:solidFill>
          </w14:textFill>
        </w:rPr>
      </w:pPr>
      <w:r>
        <w:rPr>
          <w:rFonts w:hint="eastAsia" w:eastAsia="仿宋"/>
          <w:b/>
          <w:bCs/>
          <w:color w:val="000000" w:themeColor="text1"/>
          <w:sz w:val="30"/>
          <w:szCs w:val="30"/>
          <w:lang w:val="en-US" w:eastAsia="zh-CN"/>
          <w14:textFill>
            <w14:solidFill>
              <w14:schemeClr w14:val="tx1"/>
            </w14:solidFill>
          </w14:textFill>
        </w:rPr>
        <w:t>2、</w:t>
      </w:r>
      <w:r>
        <w:rPr>
          <w:rFonts w:eastAsia="仿宋"/>
          <w:b/>
          <w:bCs/>
          <w:color w:val="000000" w:themeColor="text1"/>
          <w:sz w:val="30"/>
          <w:szCs w:val="30"/>
          <w14:textFill>
            <w14:solidFill>
              <w14:schemeClr w14:val="tx1"/>
            </w14:solidFill>
          </w14:textFill>
        </w:rPr>
        <w:t>水旅融合机制研究</w:t>
      </w:r>
    </w:p>
    <w:p>
      <w:pPr>
        <w:ind w:firstLine="602"/>
        <w:rPr>
          <w:rFonts w:eastAsia="仿宋"/>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围绕丽水大花园建设和全域旅游示范区建设，突破传统水利风景观光模式，基于旅游视角，将各类涉水资源转化为具有多元开发向导的特色旅游资源。围绕亲水体验、农田水利、文化体验、休闲度假、休闲养生、生态运动、水利科普等水旅资源开发导向，研究构建</w:t>
      </w:r>
      <w:r>
        <w:rPr>
          <w:rFonts w:hint="eastAsia" w:eastAsia="仿宋"/>
          <w:color w:val="000000" w:themeColor="text1"/>
          <w:sz w:val="30"/>
          <w:szCs w:val="30"/>
          <w:lang w:val="en-US" w:eastAsia="zh-CN"/>
          <w14:textFill>
            <w14:solidFill>
              <w14:schemeClr w14:val="tx1"/>
            </w14:solidFill>
          </w14:textFill>
        </w:rPr>
        <w:t>云和县</w:t>
      </w:r>
      <w:r>
        <w:rPr>
          <w:rFonts w:eastAsia="仿宋"/>
          <w:color w:val="000000" w:themeColor="text1"/>
          <w:sz w:val="30"/>
          <w:szCs w:val="30"/>
          <w14:textFill>
            <w14:solidFill>
              <w14:schemeClr w14:val="tx1"/>
            </w14:solidFill>
          </w14:textFill>
        </w:rPr>
        <w:t>水旅产品体系。</w:t>
      </w:r>
    </w:p>
    <w:p>
      <w:pPr>
        <w:ind w:firstLine="602"/>
        <w:rPr>
          <w:rFonts w:eastAsia="仿宋"/>
          <w:b/>
          <w:bCs/>
          <w:color w:val="000000" w:themeColor="text1"/>
          <w:sz w:val="30"/>
          <w:szCs w:val="30"/>
          <w14:textFill>
            <w14:solidFill>
              <w14:schemeClr w14:val="tx1"/>
            </w14:solidFill>
          </w14:textFill>
        </w:rPr>
      </w:pPr>
      <w:r>
        <w:rPr>
          <w:rFonts w:hint="eastAsia" w:eastAsia="仿宋"/>
          <w:b/>
          <w:bCs/>
          <w:color w:val="000000" w:themeColor="text1"/>
          <w:sz w:val="30"/>
          <w:szCs w:val="30"/>
          <w:lang w:val="en-US" w:eastAsia="zh-CN"/>
          <w14:textFill>
            <w14:solidFill>
              <w14:schemeClr w14:val="tx1"/>
            </w14:solidFill>
          </w14:textFill>
        </w:rPr>
        <w:t>3、</w:t>
      </w:r>
      <w:r>
        <w:rPr>
          <w:rFonts w:eastAsia="仿宋"/>
          <w:b/>
          <w:bCs/>
          <w:color w:val="000000" w:themeColor="text1"/>
          <w:sz w:val="30"/>
          <w:szCs w:val="30"/>
          <w14:textFill>
            <w14:solidFill>
              <w14:schemeClr w14:val="tx1"/>
            </w14:solidFill>
          </w14:textFill>
        </w:rPr>
        <w:t>山区水利现代化研究</w:t>
      </w:r>
    </w:p>
    <w:p>
      <w:pPr>
        <w:ind w:firstLine="602"/>
        <w:rPr>
          <w:rFonts w:eastAsia="仿宋"/>
          <w:b/>
          <w:bCs/>
          <w:color w:val="000000" w:themeColor="text1"/>
          <w:sz w:val="30"/>
          <w:szCs w:val="30"/>
          <w14:textFill>
            <w14:solidFill>
              <w14:schemeClr w14:val="tx1"/>
            </w14:solidFill>
          </w14:textFill>
        </w:rPr>
      </w:pPr>
      <w:r>
        <w:rPr>
          <w:rFonts w:eastAsia="仿宋"/>
          <w:color w:val="000000" w:themeColor="text1"/>
          <w:sz w:val="30"/>
          <w:szCs w:val="30"/>
          <w14:textFill>
            <w14:solidFill>
              <w14:schemeClr w14:val="tx1"/>
            </w14:solidFill>
          </w14:textFill>
        </w:rPr>
        <w:t>围绕山区水利高质量绿色发展，开展山区水利现代化研究，为全省山区水利现代化建设提供示范。</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3.2.8 加强高素质专业化队伍建设</w:t>
      </w:r>
    </w:p>
    <w:p>
      <w:pPr>
        <w:ind w:firstLine="600"/>
        <w:rPr>
          <w:rFonts w:eastAsia="仿宋"/>
          <w:color w:val="000000" w:themeColor="text1"/>
          <w:sz w:val="30"/>
          <w:szCs w:val="30"/>
          <w14:textFill>
            <w14:solidFill>
              <w14:schemeClr w14:val="tx1"/>
            </w14:solidFill>
          </w14:textFill>
        </w:rPr>
      </w:pPr>
      <w:bookmarkStart w:id="59" w:name="_Hlk69458949"/>
      <w:r>
        <w:rPr>
          <w:rFonts w:eastAsia="仿宋"/>
          <w:color w:val="000000" w:themeColor="text1"/>
          <w:sz w:val="30"/>
          <w:szCs w:val="30"/>
          <w14:textFill>
            <w14:solidFill>
              <w14:schemeClr w14:val="tx1"/>
            </w14:solidFill>
          </w14:textFill>
        </w:rPr>
        <w:t>打造一支与水利高质量发展相适应的数量充足、结构合理、能力突出、充满活力的水利队伍。加强基层水利队伍建设，大力培育服务基层水利的市场主体，建立完善专业培训机制，提高支撑服务能力；完善人才评价、激励机制，拓展基层水利人才职业发展空间；加强专业技术人才队伍建设，提高技术支撑能力。深化水利“三服务”，在实践中培养锻炼水利干部和技术人才。树立担当实干导向，加强专业干部培养，大力选拔使用优秀年轻干部，建设“忠诚干净强政治、担当作为兴水利”新时代水利队伍</w:t>
      </w:r>
      <w:bookmarkEnd w:id="59"/>
      <w:r>
        <w:rPr>
          <w:rFonts w:eastAsia="仿宋"/>
          <w:color w:val="000000" w:themeColor="text1"/>
          <w:sz w:val="30"/>
          <w:szCs w:val="30"/>
          <w14:textFill>
            <w14:solidFill>
              <w14:schemeClr w14:val="tx1"/>
            </w14:solidFill>
          </w14:textFill>
        </w:rPr>
        <w:t>。</w:t>
      </w:r>
    </w:p>
    <w:p>
      <w:pPr>
        <w:pStyle w:val="4"/>
        <w:ind w:firstLine="602"/>
        <w:rPr>
          <w:rFonts w:hint="eastAsia" w:ascii="仿宋" w:hAnsi="仿宋" w:cs="仿宋"/>
          <w:color w:val="000000" w:themeColor="text1"/>
          <w:szCs w:val="30"/>
          <w:lang w:val="en-US" w:eastAsia="zh-CN"/>
          <w14:textFill>
            <w14:solidFill>
              <w14:schemeClr w14:val="tx1"/>
            </w14:solidFill>
          </w14:textFill>
        </w:rPr>
      </w:pPr>
      <w:bookmarkStart w:id="60" w:name="_Toc16578"/>
      <w:r>
        <w:rPr>
          <w:rFonts w:hint="eastAsia" w:ascii="仿宋" w:hAnsi="仿宋" w:cs="仿宋"/>
          <w:color w:val="000000" w:themeColor="text1"/>
          <w:szCs w:val="30"/>
          <w:lang w:val="en-US" w:eastAsia="zh-CN"/>
          <w14:textFill>
            <w14:solidFill>
              <w14:schemeClr w14:val="tx1"/>
            </w14:solidFill>
          </w14:textFill>
        </w:rPr>
        <w:t>3.3 高水平创新水生态价值转换</w:t>
      </w:r>
      <w:bookmarkEnd w:id="60"/>
    </w:p>
    <w:p>
      <w:pPr>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坚持绿色发展，围绕生态资源禀赋，以加快培育水产业为着力点，以完善产业发展基础设施为支撑，以健全水经济发展体制机制为保障，构筑水利融合发展平台，活化生态资源价值，</w:t>
      </w:r>
      <w:r>
        <w:rPr>
          <w:rFonts w:hint="eastAsia" w:ascii="仿宋" w:hAnsi="仿宋" w:eastAsia="仿宋"/>
          <w:b w:val="0"/>
          <w:bCs w:val="0"/>
          <w:color w:val="000000" w:themeColor="text1"/>
          <w:sz w:val="30"/>
          <w:szCs w:val="30"/>
          <w14:textFill>
            <w14:solidFill>
              <w14:schemeClr w14:val="tx1"/>
            </w14:solidFill>
          </w14:textFill>
        </w:rPr>
        <w:t>加快发展涉水工业，融合发展涉水旅游业与涉水生态农业，</w:t>
      </w:r>
      <w:r>
        <w:rPr>
          <w:rFonts w:hint="eastAsia" w:ascii="仿宋" w:hAnsi="仿宋" w:eastAsia="仿宋"/>
          <w:color w:val="000000" w:themeColor="text1"/>
          <w:sz w:val="30"/>
          <w:szCs w:val="30"/>
          <w14:textFill>
            <w14:solidFill>
              <w14:schemeClr w14:val="tx1"/>
            </w14:solidFill>
          </w14:textFill>
        </w:rPr>
        <w:t>实现地区生产总值和生态系统生产总值规模总量协同较快增长，为</w:t>
      </w:r>
      <w:r>
        <w:rPr>
          <w:rFonts w:hint="eastAsia" w:ascii="仿宋" w:hAnsi="仿宋" w:eastAsia="仿宋"/>
          <w:color w:val="000000" w:themeColor="text1"/>
          <w:sz w:val="30"/>
          <w:szCs w:val="30"/>
          <w:lang w:eastAsia="zh-CN"/>
          <w14:textFill>
            <w14:solidFill>
              <w14:schemeClr w14:val="tx1"/>
            </w14:solidFill>
          </w14:textFill>
        </w:rPr>
        <w:t>云和</w:t>
      </w:r>
      <w:r>
        <w:rPr>
          <w:rFonts w:hint="eastAsia" w:ascii="仿宋" w:hAnsi="仿宋" w:eastAsia="仿宋"/>
          <w:color w:val="000000" w:themeColor="text1"/>
          <w:sz w:val="30"/>
          <w:szCs w:val="30"/>
          <w14:textFill>
            <w14:solidFill>
              <w14:schemeClr w14:val="tx1"/>
            </w14:solidFill>
          </w14:textFill>
        </w:rPr>
        <w:t>水利改革发展注入新动能。</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3.3.1 开展涉水生态农业</w:t>
      </w:r>
    </w:p>
    <w:p>
      <w:pPr>
        <w:ind w:firstLine="6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依托</w:t>
      </w:r>
      <w:r>
        <w:rPr>
          <w:rFonts w:hint="eastAsia" w:ascii="仿宋" w:hAnsi="仿宋" w:eastAsia="仿宋"/>
          <w:color w:val="000000" w:themeColor="text1"/>
          <w:sz w:val="30"/>
          <w:szCs w:val="30"/>
          <w:lang w:eastAsia="zh-CN"/>
          <w14:textFill>
            <w14:solidFill>
              <w14:schemeClr w14:val="tx1"/>
            </w14:solidFill>
          </w14:textFill>
        </w:rPr>
        <w:t>云和</w:t>
      </w:r>
      <w:r>
        <w:rPr>
          <w:rFonts w:hint="eastAsia" w:ascii="仿宋" w:hAnsi="仿宋" w:eastAsia="仿宋"/>
          <w:color w:val="000000" w:themeColor="text1"/>
          <w:sz w:val="30"/>
          <w:szCs w:val="30"/>
          <w14:textFill>
            <w14:solidFill>
              <w14:schemeClr w14:val="tx1"/>
            </w14:solidFill>
          </w14:textFill>
        </w:rPr>
        <w:t>丰富的水资源优势和良好的生态环境，开展渔资源特色化培育，在水库进行放养不投料养殖，形成品牌鱼产品，扩大市场占有。</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3.3.2 开展涉水工业</w:t>
      </w:r>
    </w:p>
    <w:p>
      <w:pPr>
        <w:ind w:firstLine="602"/>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1、激发水电发展内生动能</w:t>
      </w:r>
    </w:p>
    <w:p>
      <w:pPr>
        <w:ind w:firstLine="602"/>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以发电公司为载体，采取运行费用承包、全年经营承包、按年发电量收入提成承包或老电站技改托管经营等方式，促进电站的所有权与经营权分离</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盘活水电资产，</w:t>
      </w:r>
      <w:r>
        <w:rPr>
          <w:rFonts w:hint="eastAsia" w:ascii="仿宋" w:hAnsi="仿宋" w:eastAsia="仿宋"/>
          <w:color w:val="000000" w:themeColor="text1"/>
          <w:sz w:val="30"/>
          <w:szCs w:val="30"/>
          <w14:textFill>
            <w14:solidFill>
              <w14:schemeClr w14:val="tx1"/>
            </w14:solidFill>
          </w14:textFill>
        </w:rPr>
        <w:t>鼓励水电企业走向联合</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推进水电资产联动，实现集约化发展</w:t>
      </w:r>
      <w:r>
        <w:rPr>
          <w:rFonts w:hint="eastAsia" w:ascii="仿宋" w:hAnsi="仿宋" w:eastAsia="仿宋"/>
          <w:color w:val="000000" w:themeColor="text1"/>
          <w:sz w:val="30"/>
          <w:szCs w:val="30"/>
          <w14:textFill>
            <w14:solidFill>
              <w14:schemeClr w14:val="tx1"/>
            </w14:solidFill>
          </w14:textFill>
        </w:rPr>
        <w:t>。</w:t>
      </w:r>
    </w:p>
    <w:p>
      <w:pPr>
        <w:ind w:firstLine="602"/>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2、发展高品质饮用水产业</w:t>
      </w:r>
    </w:p>
    <w:p>
      <w:pPr>
        <w:ind w:firstLine="602"/>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充分利用</w:t>
      </w:r>
      <w:r>
        <w:rPr>
          <w:rFonts w:hint="eastAsia" w:ascii="仿宋" w:hAnsi="仿宋" w:eastAsia="仿宋"/>
          <w:color w:val="000000" w:themeColor="text1"/>
          <w:sz w:val="30"/>
          <w:szCs w:val="30"/>
          <w:lang w:val="en-US" w:eastAsia="zh-CN"/>
          <w14:textFill>
            <w14:solidFill>
              <w14:schemeClr w14:val="tx1"/>
            </w14:solidFill>
          </w14:textFill>
        </w:rPr>
        <w:t>云和湖的天然水优势，</w:t>
      </w:r>
      <w:r>
        <w:rPr>
          <w:rFonts w:hint="eastAsia" w:ascii="仿宋" w:hAnsi="仿宋" w:eastAsia="仿宋"/>
          <w:color w:val="000000" w:themeColor="text1"/>
          <w:sz w:val="30"/>
          <w:szCs w:val="30"/>
          <w14:textFill>
            <w14:solidFill>
              <w14:schemeClr w14:val="tx1"/>
            </w14:solidFill>
          </w14:textFill>
        </w:rPr>
        <w:t>以点带面，</w:t>
      </w:r>
      <w:r>
        <w:rPr>
          <w:rFonts w:hint="eastAsia" w:ascii="仿宋" w:hAnsi="仿宋" w:eastAsia="仿宋"/>
          <w:color w:val="000000" w:themeColor="text1"/>
          <w:sz w:val="30"/>
          <w:szCs w:val="30"/>
          <w:lang w:val="en-US" w:eastAsia="zh-CN"/>
          <w14:textFill>
            <w14:solidFill>
              <w14:schemeClr w14:val="tx1"/>
            </w14:solidFill>
          </w14:textFill>
        </w:rPr>
        <w:t>深入挖掘我县优质水资源，</w:t>
      </w:r>
      <w:r>
        <w:rPr>
          <w:rFonts w:hint="eastAsia" w:ascii="仿宋" w:hAnsi="仿宋" w:eastAsia="仿宋"/>
          <w:color w:val="000000" w:themeColor="text1"/>
          <w:sz w:val="30"/>
          <w:szCs w:val="30"/>
          <w:lang w:val="en-US" w:eastAsia="zh-CN"/>
          <w14:textFill>
            <w14:solidFill>
              <w14:schemeClr w14:val="tx1"/>
            </w14:solidFill>
          </w14:textFill>
        </w:rPr>
        <w:tab/>
      </w:r>
      <w:r>
        <w:rPr>
          <w:rFonts w:hint="eastAsia" w:ascii="仿宋" w:hAnsi="仿宋" w:eastAsia="仿宋"/>
          <w:color w:val="000000" w:themeColor="text1"/>
          <w:sz w:val="30"/>
          <w:szCs w:val="30"/>
          <w:lang w:val="en-US" w:eastAsia="zh-CN"/>
          <w14:textFill>
            <w14:solidFill>
              <w14:schemeClr w14:val="tx1"/>
            </w14:solidFill>
          </w14:textFill>
        </w:rPr>
        <w:t>投入2亿元</w:t>
      </w:r>
      <w:r>
        <w:rPr>
          <w:rFonts w:hint="eastAsia" w:ascii="仿宋" w:hAnsi="仿宋" w:eastAsia="仿宋"/>
          <w:color w:val="000000" w:themeColor="text1"/>
          <w:sz w:val="30"/>
          <w:szCs w:val="30"/>
          <w14:textFill>
            <w14:solidFill>
              <w14:schemeClr w14:val="tx1"/>
            </w14:solidFill>
          </w14:textFill>
        </w:rPr>
        <w:t>新建精品水厂2座，建设天然水生产供应链</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开发一批</w:t>
      </w:r>
      <w:r>
        <w:rPr>
          <w:rFonts w:hint="eastAsia" w:ascii="仿宋" w:hAnsi="仿宋" w:eastAsia="仿宋"/>
          <w:color w:val="000000" w:themeColor="text1"/>
          <w:sz w:val="30"/>
          <w:szCs w:val="30"/>
          <w14:textFill>
            <w14:solidFill>
              <w14:schemeClr w14:val="tx1"/>
            </w14:solidFill>
          </w14:textFill>
        </w:rPr>
        <w:t>面向中高端市场的饮用水，重点开发生产富含硒和氢氧离子等元素的饮用天然矿泉水</w:t>
      </w:r>
      <w:r>
        <w:rPr>
          <w:rFonts w:hint="eastAsia" w:ascii="仿宋" w:hAnsi="仿宋" w:eastAsia="仿宋"/>
          <w:color w:val="000000" w:themeColor="text1"/>
          <w:sz w:val="30"/>
          <w:szCs w:val="30"/>
          <w:lang w:val="en-US" w:eastAsia="zh-CN"/>
          <w14:textFill>
            <w14:solidFill>
              <w14:schemeClr w14:val="tx1"/>
            </w14:solidFill>
          </w14:textFill>
        </w:rPr>
        <w:t>及纯净水</w:t>
      </w:r>
      <w:r>
        <w:rPr>
          <w:rFonts w:hint="eastAsia" w:ascii="仿宋" w:hAnsi="仿宋" w:eastAsia="仿宋"/>
          <w:color w:val="000000" w:themeColor="text1"/>
          <w:sz w:val="30"/>
          <w:szCs w:val="30"/>
          <w14:textFill>
            <w14:solidFill>
              <w14:schemeClr w14:val="tx1"/>
            </w14:solidFill>
          </w14:textFill>
        </w:rPr>
        <w:t>等；统筹区域良好的农林生物资源，深入推进面向美容</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养老</w:t>
      </w:r>
      <w:r>
        <w:rPr>
          <w:rFonts w:hint="eastAsia" w:ascii="仿宋" w:hAnsi="仿宋" w:eastAsia="仿宋"/>
          <w:color w:val="000000" w:themeColor="text1"/>
          <w:sz w:val="30"/>
          <w:szCs w:val="30"/>
          <w14:textFill>
            <w14:solidFill>
              <w14:schemeClr w14:val="tx1"/>
            </w14:solidFill>
          </w14:textFill>
        </w:rPr>
        <w:t>和医疗等特殊领域、母婴等特殊群体消费用水的研发生产。</w:t>
      </w:r>
    </w:p>
    <w:p>
      <w:pPr>
        <w:ind w:firstLine="602"/>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3、统筹谋划新老酒产业发展</w:t>
      </w:r>
    </w:p>
    <w:p>
      <w:pPr>
        <w:ind w:firstLine="602"/>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依托</w:t>
      </w:r>
      <w:r>
        <w:rPr>
          <w:rFonts w:hint="eastAsia" w:ascii="仿宋" w:hAnsi="仿宋" w:eastAsia="仿宋"/>
          <w:color w:val="000000" w:themeColor="text1"/>
          <w:sz w:val="30"/>
          <w:szCs w:val="30"/>
          <w:lang w:eastAsia="zh-CN"/>
          <w14:textFill>
            <w14:solidFill>
              <w14:schemeClr w14:val="tx1"/>
            </w14:solidFill>
          </w14:textFill>
        </w:rPr>
        <w:t>云和</w:t>
      </w:r>
      <w:r>
        <w:rPr>
          <w:rFonts w:hint="eastAsia" w:ascii="仿宋" w:hAnsi="仿宋" w:eastAsia="仿宋"/>
          <w:color w:val="000000" w:themeColor="text1"/>
          <w:sz w:val="30"/>
          <w:szCs w:val="30"/>
          <w14:textFill>
            <w14:solidFill>
              <w14:schemeClr w14:val="tx1"/>
            </w14:solidFill>
          </w14:textFill>
        </w:rPr>
        <w:t>优质水资源和生态农业优势，谋划建设富有特色的酿酒厂、品酒活动场所和酒文化博物馆等，深入挖掘和孕育出</w:t>
      </w:r>
      <w:r>
        <w:rPr>
          <w:rFonts w:hint="eastAsia" w:ascii="仿宋" w:hAnsi="仿宋" w:eastAsia="仿宋"/>
          <w:color w:val="000000" w:themeColor="text1"/>
          <w:sz w:val="30"/>
          <w:szCs w:val="30"/>
          <w:lang w:eastAsia="zh-CN"/>
          <w14:textFill>
            <w14:solidFill>
              <w14:schemeClr w14:val="tx1"/>
            </w14:solidFill>
          </w14:textFill>
        </w:rPr>
        <w:t>云和</w:t>
      </w:r>
      <w:r>
        <w:rPr>
          <w:rFonts w:hint="eastAsia" w:ascii="仿宋" w:hAnsi="仿宋" w:eastAsia="仿宋"/>
          <w:color w:val="000000" w:themeColor="text1"/>
          <w:sz w:val="30"/>
          <w:szCs w:val="30"/>
          <w14:textFill>
            <w14:solidFill>
              <w14:schemeClr w14:val="tx1"/>
            </w14:solidFill>
          </w14:textFill>
        </w:rPr>
        <w:t>健康的酒文化，使酒产品更加符合休闲养生的绿色发展理念。</w:t>
      </w:r>
    </w:p>
    <w:p>
      <w:pPr>
        <w:pStyle w:val="5"/>
        <w:ind w:firstLine="60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3.3.3 开展涉水旅游业</w:t>
      </w:r>
    </w:p>
    <w:p>
      <w:pPr>
        <w:ind w:firstLine="600"/>
        <w:rPr>
          <w:rFonts w:hint="default"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深挖</w:t>
      </w:r>
      <w:r>
        <w:rPr>
          <w:rFonts w:hint="eastAsia" w:ascii="仿宋" w:hAnsi="仿宋" w:eastAsia="仿宋"/>
          <w:color w:val="000000" w:themeColor="text1"/>
          <w:sz w:val="30"/>
          <w:szCs w:val="30"/>
          <w:lang w:val="en-US" w:eastAsia="zh-CN"/>
          <w14:textFill>
            <w14:solidFill>
              <w14:schemeClr w14:val="tx1"/>
            </w14:solidFill>
          </w14:textFill>
        </w:rPr>
        <w:t>县</w:t>
      </w:r>
      <w:r>
        <w:rPr>
          <w:rFonts w:hint="eastAsia" w:ascii="仿宋" w:hAnsi="仿宋" w:eastAsia="仿宋"/>
          <w:color w:val="000000" w:themeColor="text1"/>
          <w:sz w:val="30"/>
          <w:szCs w:val="30"/>
          <w14:textFill>
            <w14:solidFill>
              <w14:schemeClr w14:val="tx1"/>
            </w14:solidFill>
          </w14:textFill>
        </w:rPr>
        <w:t>域水文化，以文化保护与利用推动水利、文化融合发展，统筹推进水文化遗产保护、修复与利用，打造</w:t>
      </w:r>
      <w:r>
        <w:rPr>
          <w:rFonts w:hint="eastAsia" w:ascii="仿宋" w:hAnsi="仿宋" w:eastAsia="仿宋"/>
          <w:color w:val="000000" w:themeColor="text1"/>
          <w:sz w:val="30"/>
          <w:szCs w:val="30"/>
          <w:lang w:val="en-US" w:eastAsia="zh-CN"/>
          <w14:textFill>
            <w14:solidFill>
              <w14:schemeClr w14:val="tx1"/>
            </w14:solidFill>
          </w14:textFill>
        </w:rPr>
        <w:t>水文化创意街区及旅游风情小镇</w:t>
      </w: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通过云和湖开展</w:t>
      </w:r>
      <w:r>
        <w:rPr>
          <w:rFonts w:hint="eastAsia" w:ascii="仿宋" w:hAnsi="仿宋" w:eastAsia="仿宋"/>
          <w:color w:val="000000" w:themeColor="text1"/>
          <w:sz w:val="30"/>
          <w:szCs w:val="30"/>
          <w14:textFill>
            <w14:solidFill>
              <w14:schemeClr w14:val="tx1"/>
            </w14:solidFill>
          </w14:textFill>
        </w:rPr>
        <w:t>国际铁人三项邀请赛</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并以水为依托</w:t>
      </w:r>
      <w:r>
        <w:rPr>
          <w:rFonts w:hint="eastAsia" w:ascii="仿宋" w:hAnsi="仿宋" w:eastAsia="仿宋"/>
          <w:color w:val="000000" w:themeColor="text1"/>
          <w:sz w:val="30"/>
          <w:szCs w:val="30"/>
          <w14:textFill>
            <w14:solidFill>
              <w14:schemeClr w14:val="tx1"/>
            </w14:solidFill>
          </w14:textFill>
        </w:rPr>
        <w:t>努力建成文化艺术创作地</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水旅融合精品民宿及</w:t>
      </w:r>
      <w:r>
        <w:rPr>
          <w:rFonts w:hint="eastAsia" w:ascii="仿宋" w:hAnsi="仿宋" w:eastAsia="仿宋"/>
          <w:color w:val="000000" w:themeColor="text1"/>
          <w:sz w:val="30"/>
          <w:szCs w:val="30"/>
          <w14:textFill>
            <w14:solidFill>
              <w14:schemeClr w14:val="tx1"/>
            </w14:solidFill>
          </w14:textFill>
        </w:rPr>
        <w:t>休闲度假养生地，创新打造</w:t>
      </w:r>
      <w:r>
        <w:rPr>
          <w:rFonts w:hint="eastAsia" w:ascii="仿宋" w:hAnsi="仿宋" w:eastAsia="仿宋"/>
          <w:color w:val="000000" w:themeColor="text1"/>
          <w:sz w:val="30"/>
          <w:szCs w:val="30"/>
          <w:lang w:eastAsia="zh-CN"/>
          <w14:textFill>
            <w14:solidFill>
              <w14:schemeClr w14:val="tx1"/>
            </w14:solidFill>
          </w14:textFill>
        </w:rPr>
        <w:t>云和</w:t>
      </w:r>
      <w:r>
        <w:rPr>
          <w:rFonts w:hint="eastAsia" w:ascii="仿宋" w:hAnsi="仿宋" w:eastAsia="仿宋"/>
          <w:color w:val="000000" w:themeColor="text1"/>
          <w:sz w:val="30"/>
          <w:szCs w:val="30"/>
          <w14:textFill>
            <w14:solidFill>
              <w14:schemeClr w14:val="tx1"/>
            </w14:solidFill>
          </w14:textFill>
        </w:rPr>
        <w:t>水文化名片。</w:t>
      </w:r>
      <w:bookmarkEnd w:id="50"/>
      <w:bookmarkEnd w:id="51"/>
    </w:p>
    <w:p>
      <w:pPr>
        <w:ind w:firstLine="600"/>
        <w:rPr>
          <w:rFonts w:hint="default" w:ascii="仿宋" w:hAnsi="仿宋" w:eastAsia="仿宋"/>
          <w:color w:val="000000" w:themeColor="text1"/>
          <w:sz w:val="30"/>
          <w:szCs w:val="30"/>
          <w:lang w:val="en-US" w:eastAsia="zh-CN"/>
          <w14:textFill>
            <w14:solidFill>
              <w14:schemeClr w14:val="tx1"/>
            </w14:solidFill>
          </w14:textFill>
        </w:rPr>
      </w:pPr>
    </w:p>
    <w:p>
      <w:pPr>
        <w:ind w:firstLine="600"/>
        <w:rPr>
          <w:rFonts w:hint="default" w:ascii="仿宋" w:hAnsi="仿宋" w:eastAsia="仿宋"/>
          <w:color w:val="000000" w:themeColor="text1"/>
          <w:sz w:val="30"/>
          <w:szCs w:val="30"/>
          <w:lang w:val="en-US" w:eastAsia="zh-CN"/>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cols w:space="720" w:num="1"/>
          <w:docGrid w:linePitch="381" w:charSpace="0"/>
        </w:sectPr>
      </w:pPr>
    </w:p>
    <w:p>
      <w:pPr>
        <w:pStyle w:val="3"/>
        <w:rPr>
          <w:rFonts w:hint="default" w:ascii="仿宋" w:hAnsi="仿宋" w:eastAsia="仿宋" w:cs="仿宋"/>
          <w:color w:val="000000" w:themeColor="text1"/>
          <w:lang w:val="en-US" w:eastAsia="zh-CN"/>
          <w14:textFill>
            <w14:solidFill>
              <w14:schemeClr w14:val="tx1"/>
            </w14:solidFill>
          </w14:textFill>
        </w:rPr>
      </w:pPr>
      <w:bookmarkStart w:id="61" w:name="_Toc13593"/>
      <w:bookmarkStart w:id="62" w:name="_Toc31061"/>
      <w:r>
        <w:rPr>
          <w:rFonts w:hint="eastAsia" w:ascii="仿宋" w:hAnsi="仿宋" w:eastAsia="仿宋" w:cs="仿宋"/>
          <w:color w:val="000000" w:themeColor="text1"/>
          <w:lang w:val="en-US" w:eastAsia="zh-CN"/>
          <w14:textFill>
            <w14:solidFill>
              <w14:schemeClr w14:val="tx1"/>
            </w14:solidFill>
          </w14:textFill>
        </w:rPr>
        <w:t>四</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lang w:val="en-US" w:eastAsia="zh-CN"/>
          <w14:textFill>
            <w14:solidFill>
              <w14:schemeClr w14:val="tx1"/>
            </w14:solidFill>
          </w14:textFill>
        </w:rPr>
        <w:t>环境影响分析</w:t>
      </w:r>
      <w:bookmarkEnd w:id="61"/>
    </w:p>
    <w:p>
      <w:pPr>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本规划以打造“</w:t>
      </w:r>
      <w:r>
        <w:rPr>
          <w:rFonts w:hint="eastAsia" w:ascii="仿宋" w:hAnsi="仿宋" w:eastAsia="仿宋"/>
          <w:color w:val="000000" w:themeColor="text1"/>
          <w:sz w:val="30"/>
          <w:szCs w:val="30"/>
          <w:lang w:val="en-US" w:eastAsia="zh-CN"/>
          <w14:textFill>
            <w14:solidFill>
              <w14:schemeClr w14:val="tx1"/>
            </w14:solidFill>
          </w14:textFill>
        </w:rPr>
        <w:t>水美云和</w:t>
      </w:r>
      <w:r>
        <w:rPr>
          <w:rFonts w:hint="eastAsia" w:ascii="仿宋" w:hAnsi="仿宋" w:eastAsia="仿宋"/>
          <w:color w:val="000000" w:themeColor="text1"/>
          <w:sz w:val="30"/>
          <w:szCs w:val="30"/>
          <w14:textFill>
            <w14:solidFill>
              <w14:schemeClr w14:val="tx1"/>
            </w14:solidFill>
          </w14:textFill>
        </w:rPr>
        <w:t>”、全力强监管为抓手，着力补齐水利基础设施烟板和提升涉水事务监管水平要求，</w:t>
      </w:r>
      <w:r>
        <w:rPr>
          <w:rFonts w:hint="eastAsia" w:ascii="仿宋" w:hAnsi="仿宋" w:eastAsia="仿宋"/>
          <w:color w:val="000000" w:themeColor="text1"/>
          <w:sz w:val="30"/>
          <w:szCs w:val="30"/>
          <w:lang w:val="en-US" w:eastAsia="zh-CN"/>
          <w14:textFill>
            <w14:solidFill>
              <w14:schemeClr w14:val="tx1"/>
            </w14:solidFill>
          </w14:textFill>
        </w:rPr>
        <w:t>全力</w:t>
      </w:r>
      <w:r>
        <w:rPr>
          <w:rFonts w:hint="eastAsia" w:ascii="仿宋" w:hAnsi="仿宋" w:eastAsia="仿宋"/>
          <w:color w:val="000000" w:themeColor="text1"/>
          <w:sz w:val="30"/>
          <w:szCs w:val="30"/>
          <w14:textFill>
            <w14:solidFill>
              <w14:schemeClr w14:val="tx1"/>
            </w14:solidFill>
          </w14:textFill>
        </w:rPr>
        <w:t>构建水安全、水资源、水生态、水生态价值转换、涉水管理“五位一体”的水安全保障体系。规划工程实施后，将进一步完善水利基础设施网络，提高防洪减灾和水资源保障能力，总体上有利于改善河湖水生态环境，为支撑</w:t>
      </w:r>
      <w:r>
        <w:rPr>
          <w:rFonts w:hint="eastAsia" w:ascii="仿宋" w:hAnsi="仿宋" w:eastAsia="仿宋"/>
          <w:color w:val="000000" w:themeColor="text1"/>
          <w:sz w:val="30"/>
          <w:szCs w:val="30"/>
          <w:lang w:val="en-US" w:eastAsia="zh-CN"/>
          <w14:textFill>
            <w14:solidFill>
              <w14:schemeClr w14:val="tx1"/>
            </w14:solidFill>
          </w14:textFill>
        </w:rPr>
        <w:t>云和县</w:t>
      </w:r>
      <w:r>
        <w:rPr>
          <w:rFonts w:hint="eastAsia" w:ascii="仿宋" w:hAnsi="仿宋" w:eastAsia="仿宋"/>
          <w:color w:val="000000" w:themeColor="text1"/>
          <w:sz w:val="30"/>
          <w:szCs w:val="30"/>
          <w14:textFill>
            <w14:solidFill>
              <w14:schemeClr w14:val="tx1"/>
            </w14:solidFill>
          </w14:textFill>
        </w:rPr>
        <w:t>经济社会高质量绿色发展奠定坚实基础。</w:t>
      </w:r>
    </w:p>
    <w:p>
      <w:pPr>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划推荐重大水利工程，通过具体设计，在满足规划目标的基础上基本可消除各种不利影响。规划工程对土地利用、生态环境、水土保持、生物多样性、湿地资源、自然景观等基本无不利影响。流域工程建设会涉及到占地和移民问题，可能会诱发一些社会问题;个别水利工程会涉及到自然保护区、风景名胜区、永久基本农田保护区等敏感区域;水利工程施工期间废水、废渣的排放以及施工噪声可能会对周边环境带来一定影响。为此，要高度重视规划工程建设可能对区域周边环境产生的不利影响，依法加强建设项目环境影响评价等工作，强化相应的生态环境保护措施。</w:t>
      </w:r>
    </w:p>
    <w:p>
      <w:pPr>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一是秉承绿色发展理念。提倡采用生态型治理措施，通过水系连通和湿地建设，结合周边绿地和林地建设，进行生态要素扩容，提升自然系统净化和自我修复能力:尊重自然、顺应自然、保护自然，尽量保持河流、岸线自然形态，并注意与城乡景观、生态环境的协调。</w:t>
      </w:r>
    </w:p>
    <w:p>
      <w:pPr>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二是</w:t>
      </w:r>
      <w:r>
        <w:rPr>
          <w:rFonts w:hint="eastAsia" w:ascii="仿宋" w:hAnsi="仿宋" w:eastAsia="仿宋"/>
          <w:color w:val="000000" w:themeColor="text1"/>
          <w:sz w:val="30"/>
          <w:szCs w:val="30"/>
          <w:lang w:val="en-US" w:eastAsia="zh-CN"/>
          <w14:textFill>
            <w14:solidFill>
              <w14:schemeClr w14:val="tx1"/>
            </w14:solidFill>
          </w14:textFill>
        </w:rPr>
        <w:t>统筹</w:t>
      </w:r>
      <w:r>
        <w:rPr>
          <w:rFonts w:hint="eastAsia" w:ascii="仿宋" w:hAnsi="仿宋" w:eastAsia="仿宋"/>
          <w:color w:val="000000" w:themeColor="text1"/>
          <w:sz w:val="30"/>
          <w:szCs w:val="30"/>
          <w14:textFill>
            <w14:solidFill>
              <w14:schemeClr w14:val="tx1"/>
            </w14:solidFill>
          </w14:textFill>
        </w:rPr>
        <w:t>前期设计方案。规划项目多，分布广，基本为流域系统治理工程</w:t>
      </w:r>
      <w:r>
        <w:rPr>
          <w:rFonts w:hint="eastAsia" w:ascii="仿宋" w:hAnsi="仿宋" w:eastAsia="仿宋"/>
          <w:color w:val="000000" w:themeColor="text1"/>
          <w:sz w:val="30"/>
          <w:szCs w:val="30"/>
          <w:lang w:val="en-US" w:eastAsia="zh-CN"/>
          <w14:textFill>
            <w14:solidFill>
              <w14:schemeClr w14:val="tx1"/>
            </w14:solidFill>
          </w14:textFill>
        </w:rPr>
        <w:t>或其</w:t>
      </w:r>
      <w:r>
        <w:rPr>
          <w:rFonts w:hint="eastAsia" w:ascii="仿宋" w:hAnsi="仿宋" w:eastAsia="仿宋"/>
          <w:color w:val="000000" w:themeColor="text1"/>
          <w:sz w:val="30"/>
          <w:szCs w:val="30"/>
          <w14:textFill>
            <w14:solidFill>
              <w14:schemeClr w14:val="tx1"/>
            </w14:solidFill>
          </w14:textFill>
        </w:rPr>
        <w:t>中部分工程，在方案设计中应系统分析其对流域的生态环境影响，科学论证工程生态布局合理性，提出切实可行有效的保护、减缓和补偿措施。对直接影响重要生态环境敏感区域和重要目标的项目，优化调整项目布局和选址。</w:t>
      </w:r>
    </w:p>
    <w:p>
      <w:pPr>
        <w:ind w:firstLine="6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三是加强生态监测评估。加强规划实施可能影响的重要生态环境敏感区和重要目标监测与保护，及时掌握环境变化，采取相应对策措施。加强规划实施的环境风险评价与管理，针对可能发生的重大环境风险问题，制定突发环境事件风险应急管理措施。</w:t>
      </w:r>
    </w:p>
    <w:p>
      <w:pPr>
        <w:ind w:firstLine="600"/>
        <w:rPr>
          <w:rFonts w:hint="eastAsia" w:ascii="仿宋" w:hAnsi="仿宋" w:eastAsia="仿宋" w:cs="仿宋"/>
          <w:color w:val="000000" w:themeColor="text1"/>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四是严格水生态环境保护制度。严格执行《环境保护法》《环境影响评价法》等法律法规，强化行业监管，严格项目审批，严把环保准入关。落实建设项目环境影响评价制度和各项环境保护措施，严格执行“三同时”制度，做好工程规划、设计、建设和运行的全过程环境监管，强化验收环节的管理。</w:t>
      </w: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3"/>
        <w:rPr>
          <w:rFonts w:ascii="仿宋" w:hAnsi="仿宋" w:eastAsia="仿宋" w:cs="仿宋"/>
          <w:color w:val="000000" w:themeColor="text1"/>
          <w14:textFill>
            <w14:solidFill>
              <w14:schemeClr w14:val="tx1"/>
            </w14:solidFill>
          </w14:textFill>
        </w:rPr>
      </w:pPr>
      <w:bookmarkStart w:id="63" w:name="_Toc18506"/>
      <w:r>
        <w:rPr>
          <w:rFonts w:hint="eastAsia" w:ascii="仿宋" w:hAnsi="仿宋" w:eastAsia="仿宋" w:cs="仿宋"/>
          <w:color w:val="000000" w:themeColor="text1"/>
          <w:lang w:val="en-US" w:eastAsia="zh-CN"/>
          <w14:textFill>
            <w14:solidFill>
              <w14:schemeClr w14:val="tx1"/>
            </w14:solidFill>
          </w14:textFill>
        </w:rPr>
        <w:t>五</w:t>
      </w:r>
      <w:r>
        <w:rPr>
          <w:rFonts w:hint="eastAsia" w:ascii="仿宋" w:hAnsi="仿宋" w:eastAsia="仿宋" w:cs="仿宋"/>
          <w:color w:val="000000" w:themeColor="text1"/>
          <w14:textFill>
            <w14:solidFill>
              <w14:schemeClr w14:val="tx1"/>
            </w14:solidFill>
          </w14:textFill>
        </w:rPr>
        <w:t>、投资估算</w:t>
      </w:r>
      <w:bookmarkEnd w:id="62"/>
      <w:bookmarkEnd w:id="63"/>
    </w:p>
    <w:p>
      <w:pPr>
        <w:keepNext/>
        <w:keepLines/>
        <w:ind w:firstLine="602"/>
        <w:outlineLvl w:val="1"/>
        <w:rPr>
          <w:rFonts w:eastAsia="仿宋"/>
          <w:b/>
          <w:bCs/>
          <w:color w:val="000000" w:themeColor="text1"/>
          <w:sz w:val="30"/>
          <w:szCs w:val="30"/>
          <w:highlight w:val="none"/>
          <w14:textFill>
            <w14:solidFill>
              <w14:schemeClr w14:val="tx1"/>
            </w14:solidFill>
          </w14:textFill>
        </w:rPr>
      </w:pPr>
      <w:bookmarkStart w:id="64" w:name="_Toc11657"/>
      <w:bookmarkStart w:id="65" w:name="_Toc15827"/>
      <w:bookmarkStart w:id="66" w:name="_Toc53764417"/>
      <w:r>
        <w:rPr>
          <w:rFonts w:hint="eastAsia" w:eastAsia="仿宋"/>
          <w:b/>
          <w:bCs/>
          <w:color w:val="000000" w:themeColor="text1"/>
          <w:sz w:val="30"/>
          <w:szCs w:val="30"/>
          <w:highlight w:val="none"/>
          <w:lang w:val="en-US" w:eastAsia="zh-CN"/>
          <w14:textFill>
            <w14:solidFill>
              <w14:schemeClr w14:val="tx1"/>
            </w14:solidFill>
          </w14:textFill>
        </w:rPr>
        <w:t xml:space="preserve">5.1 </w:t>
      </w:r>
      <w:r>
        <w:rPr>
          <w:rFonts w:hint="eastAsia" w:eastAsia="仿宋"/>
          <w:b/>
          <w:bCs/>
          <w:color w:val="000000" w:themeColor="text1"/>
          <w:sz w:val="30"/>
          <w:szCs w:val="30"/>
          <w:highlight w:val="none"/>
          <w14:textFill>
            <w14:solidFill>
              <w14:schemeClr w14:val="tx1"/>
            </w14:solidFill>
          </w14:textFill>
        </w:rPr>
        <w:t>投资估算</w:t>
      </w:r>
      <w:bookmarkEnd w:id="64"/>
      <w:bookmarkEnd w:id="65"/>
      <w:bookmarkEnd w:id="66"/>
    </w:p>
    <w:p>
      <w:pPr>
        <w:ind w:firstLine="600"/>
      </w:pPr>
      <w:r>
        <w:rPr>
          <w:rFonts w:hint="eastAsia" w:eastAsia="仿宋"/>
          <w:color w:val="000000" w:themeColor="text1"/>
          <w:sz w:val="30"/>
          <w:szCs w:val="30"/>
          <w:highlight w:val="none"/>
          <w14:textFill>
            <w14:solidFill>
              <w14:schemeClr w14:val="tx1"/>
            </w14:solidFill>
          </w14:textFill>
        </w:rPr>
        <w:t>经初步估算，</w:t>
      </w:r>
      <w:r>
        <w:rPr>
          <w:rFonts w:hint="eastAsia" w:eastAsia="仿宋"/>
          <w:color w:val="000000" w:themeColor="text1"/>
          <w:sz w:val="30"/>
          <w:szCs w:val="30"/>
          <w:highlight w:val="none"/>
          <w:lang w:eastAsia="zh-CN"/>
          <w14:textFill>
            <w14:solidFill>
              <w14:schemeClr w14:val="tx1"/>
            </w14:solidFill>
          </w14:textFill>
        </w:rPr>
        <w:t>云和县“</w:t>
      </w:r>
      <w:r>
        <w:rPr>
          <w:rFonts w:hint="eastAsia" w:eastAsia="仿宋"/>
          <w:color w:val="000000" w:themeColor="text1"/>
          <w:sz w:val="30"/>
          <w:szCs w:val="30"/>
          <w:highlight w:val="none"/>
          <w:lang w:val="en-US" w:eastAsia="zh-CN"/>
          <w14:textFill>
            <w14:solidFill>
              <w14:schemeClr w14:val="tx1"/>
            </w14:solidFill>
          </w14:textFill>
        </w:rPr>
        <w:t>十四五</w:t>
      </w:r>
      <w:r>
        <w:rPr>
          <w:rFonts w:hint="eastAsia" w:eastAsia="仿宋"/>
          <w:color w:val="000000" w:themeColor="text1"/>
          <w:sz w:val="30"/>
          <w:szCs w:val="30"/>
          <w:highlight w:val="none"/>
          <w:lang w:eastAsia="zh-CN"/>
          <w14:textFill>
            <w14:solidFill>
              <w14:schemeClr w14:val="tx1"/>
            </w14:solidFill>
          </w14:textFill>
        </w:rPr>
        <w:t>”</w:t>
      </w:r>
      <w:r>
        <w:rPr>
          <w:rFonts w:hint="eastAsia" w:eastAsia="仿宋"/>
          <w:color w:val="000000" w:themeColor="text1"/>
          <w:sz w:val="30"/>
          <w:szCs w:val="30"/>
          <w:highlight w:val="none"/>
          <w:lang w:val="en-US" w:eastAsia="zh-CN"/>
          <w14:textFill>
            <w14:solidFill>
              <w14:schemeClr w14:val="tx1"/>
            </w14:solidFill>
          </w14:textFill>
        </w:rPr>
        <w:t>水利发展规划</w:t>
      </w:r>
      <w:r>
        <w:rPr>
          <w:rFonts w:hint="eastAsia" w:eastAsia="仿宋"/>
          <w:color w:val="000000" w:themeColor="text1"/>
          <w:sz w:val="30"/>
          <w:szCs w:val="30"/>
          <w:highlight w:val="none"/>
          <w14:textFill>
            <w14:solidFill>
              <w14:schemeClr w14:val="tx1"/>
            </w14:solidFill>
          </w14:textFill>
        </w:rPr>
        <w:t>拟建和续建工程总投资</w:t>
      </w:r>
      <w:r>
        <w:rPr>
          <w:rFonts w:hint="eastAsia" w:eastAsia="仿宋"/>
          <w:color w:val="000000" w:themeColor="text1"/>
          <w:sz w:val="30"/>
          <w:szCs w:val="30"/>
          <w:highlight w:val="none"/>
          <w:lang w:val="en-US" w:eastAsia="zh-CN"/>
          <w14:textFill>
            <w14:solidFill>
              <w14:schemeClr w14:val="tx1"/>
            </w14:solidFill>
          </w14:textFill>
        </w:rPr>
        <w:t>39.4</w:t>
      </w:r>
      <w:r>
        <w:rPr>
          <w:rFonts w:hint="eastAsia" w:eastAsia="仿宋"/>
          <w:color w:val="000000" w:themeColor="text1"/>
          <w:sz w:val="30"/>
          <w:szCs w:val="30"/>
          <w:highlight w:val="none"/>
          <w14:textFill>
            <w14:solidFill>
              <w14:schemeClr w14:val="tx1"/>
            </w14:solidFill>
          </w14:textFill>
        </w:rPr>
        <w:t>亿元，已完成投资</w:t>
      </w:r>
      <w:r>
        <w:rPr>
          <w:rFonts w:hint="eastAsia" w:eastAsia="仿宋"/>
          <w:color w:val="000000" w:themeColor="text1"/>
          <w:sz w:val="30"/>
          <w:szCs w:val="30"/>
          <w:highlight w:val="none"/>
          <w:lang w:val="en-US" w:eastAsia="zh-CN"/>
          <w14:textFill>
            <w14:solidFill>
              <w14:schemeClr w14:val="tx1"/>
            </w14:solidFill>
          </w14:textFill>
        </w:rPr>
        <w:t>4</w:t>
      </w:r>
      <w:r>
        <w:rPr>
          <w:rFonts w:hint="eastAsia" w:eastAsia="仿宋"/>
          <w:color w:val="000000" w:themeColor="text1"/>
          <w:sz w:val="30"/>
          <w:szCs w:val="30"/>
          <w:highlight w:val="none"/>
          <w14:textFill>
            <w14:solidFill>
              <w14:schemeClr w14:val="tx1"/>
            </w14:solidFill>
          </w14:textFill>
        </w:rPr>
        <w:t>亿元，“十四五”期间投资</w:t>
      </w:r>
      <w:r>
        <w:rPr>
          <w:rFonts w:hint="eastAsia" w:eastAsia="仿宋"/>
          <w:color w:val="000000" w:themeColor="text1"/>
          <w:sz w:val="30"/>
          <w:szCs w:val="30"/>
          <w:highlight w:val="none"/>
          <w:lang w:val="en-US" w:eastAsia="zh-CN"/>
          <w14:textFill>
            <w14:solidFill>
              <w14:schemeClr w14:val="tx1"/>
            </w14:solidFill>
          </w14:textFill>
        </w:rPr>
        <w:t>29.7</w:t>
      </w:r>
      <w:r>
        <w:rPr>
          <w:rFonts w:hint="eastAsia" w:eastAsia="仿宋"/>
          <w:color w:val="000000" w:themeColor="text1"/>
          <w:sz w:val="30"/>
          <w:szCs w:val="30"/>
          <w:highlight w:val="none"/>
          <w14:textFill>
            <w14:solidFill>
              <w14:schemeClr w14:val="tx1"/>
            </w14:solidFill>
          </w14:textFill>
        </w:rPr>
        <w:t>亿元</w:t>
      </w:r>
      <w:r>
        <w:rPr>
          <w:rFonts w:hint="eastAsia" w:eastAsia="仿宋"/>
          <w:color w:val="000000" w:themeColor="text1"/>
          <w:sz w:val="30"/>
          <w:szCs w:val="30"/>
          <w:highlight w:val="none"/>
          <w:lang w:eastAsia="zh-CN"/>
          <w14:textFill>
            <w14:solidFill>
              <w14:schemeClr w14:val="tx1"/>
            </w14:solidFill>
          </w14:textFill>
        </w:rPr>
        <w:t>，“</w:t>
      </w:r>
      <w:r>
        <w:rPr>
          <w:rFonts w:hint="eastAsia" w:eastAsia="仿宋"/>
          <w:color w:val="000000" w:themeColor="text1"/>
          <w:sz w:val="30"/>
          <w:szCs w:val="30"/>
          <w:highlight w:val="none"/>
          <w:lang w:val="en-US" w:eastAsia="zh-CN"/>
          <w14:textFill>
            <w14:solidFill>
              <w14:schemeClr w14:val="tx1"/>
            </w14:solidFill>
          </w14:textFill>
        </w:rPr>
        <w:t>十四五</w:t>
      </w:r>
      <w:r>
        <w:rPr>
          <w:rFonts w:hint="eastAsia" w:eastAsia="仿宋"/>
          <w:color w:val="000000" w:themeColor="text1"/>
          <w:sz w:val="30"/>
          <w:szCs w:val="30"/>
          <w:highlight w:val="none"/>
          <w:lang w:eastAsia="zh-CN"/>
          <w14:textFill>
            <w14:solidFill>
              <w14:schemeClr w14:val="tx1"/>
            </w14:solidFill>
          </w14:textFill>
        </w:rPr>
        <w:t>”</w:t>
      </w:r>
      <w:r>
        <w:rPr>
          <w:rFonts w:hint="eastAsia" w:eastAsia="仿宋"/>
          <w:color w:val="000000" w:themeColor="text1"/>
          <w:sz w:val="30"/>
          <w:szCs w:val="30"/>
          <w:highlight w:val="none"/>
          <w:lang w:val="en-US" w:eastAsia="zh-CN"/>
          <w14:textFill>
            <w14:solidFill>
              <w14:schemeClr w14:val="tx1"/>
            </w14:solidFill>
          </w14:textFill>
        </w:rPr>
        <w:t>之后计划投资5.7亿元</w:t>
      </w:r>
      <w:r>
        <w:rPr>
          <w:rFonts w:hint="eastAsia" w:eastAsia="仿宋"/>
          <w:color w:val="000000" w:themeColor="text1"/>
          <w:sz w:val="30"/>
          <w:szCs w:val="30"/>
          <w:highlight w:val="none"/>
          <w:lang w:eastAsia="zh-CN"/>
          <w14:textFill>
            <w14:solidFill>
              <w14:schemeClr w14:val="tx1"/>
            </w14:solidFill>
          </w14:textFill>
        </w:rPr>
        <w:t>。</w:t>
      </w:r>
      <w:r>
        <w:rPr>
          <w:rFonts w:hint="eastAsia" w:eastAsia="仿宋"/>
          <w:color w:val="000000" w:themeColor="text1"/>
          <w:sz w:val="30"/>
          <w:szCs w:val="30"/>
          <w:highlight w:val="none"/>
          <w14:textFill>
            <w14:solidFill>
              <w14:schemeClr w14:val="tx1"/>
            </w14:solidFill>
          </w14:textFill>
        </w:rPr>
        <w:t>“十四五”期间防洪保安投资</w:t>
      </w:r>
      <w:r>
        <w:rPr>
          <w:rFonts w:hint="eastAsia" w:eastAsia="仿宋"/>
          <w:color w:val="000000" w:themeColor="text1"/>
          <w:sz w:val="30"/>
          <w:szCs w:val="30"/>
          <w:highlight w:val="none"/>
          <w:lang w:val="en-US" w:eastAsia="zh-CN"/>
          <w14:textFill>
            <w14:solidFill>
              <w14:schemeClr w14:val="tx1"/>
            </w14:solidFill>
          </w14:textFill>
        </w:rPr>
        <w:t>15</w:t>
      </w:r>
      <w:r>
        <w:rPr>
          <w:rFonts w:hint="eastAsia" w:eastAsia="仿宋"/>
          <w:color w:val="000000" w:themeColor="text1"/>
          <w:sz w:val="30"/>
          <w:szCs w:val="30"/>
          <w:highlight w:val="none"/>
          <w14:textFill>
            <w14:solidFill>
              <w14:schemeClr w14:val="tx1"/>
            </w14:solidFill>
          </w14:textFill>
        </w:rPr>
        <w:t>亿元，水资源保障投资</w:t>
      </w:r>
      <w:r>
        <w:rPr>
          <w:rFonts w:hint="eastAsia" w:eastAsia="仿宋"/>
          <w:color w:val="000000" w:themeColor="text1"/>
          <w:sz w:val="30"/>
          <w:szCs w:val="30"/>
          <w:highlight w:val="none"/>
          <w:lang w:val="en-US" w:eastAsia="zh-CN"/>
          <w14:textFill>
            <w14:solidFill>
              <w14:schemeClr w14:val="tx1"/>
            </w14:solidFill>
          </w14:textFill>
        </w:rPr>
        <w:t>3.5</w:t>
      </w:r>
      <w:r>
        <w:rPr>
          <w:rFonts w:hint="eastAsia" w:eastAsia="仿宋"/>
          <w:color w:val="000000" w:themeColor="text1"/>
          <w:sz w:val="30"/>
          <w:szCs w:val="30"/>
          <w:highlight w:val="none"/>
          <w14:textFill>
            <w14:solidFill>
              <w14:schemeClr w14:val="tx1"/>
            </w14:solidFill>
          </w14:textFill>
        </w:rPr>
        <w:t>亿元，水生态环境投资</w:t>
      </w:r>
      <w:r>
        <w:rPr>
          <w:rFonts w:hint="eastAsia" w:eastAsia="仿宋"/>
          <w:color w:val="000000" w:themeColor="text1"/>
          <w:sz w:val="30"/>
          <w:szCs w:val="30"/>
          <w:highlight w:val="none"/>
          <w:lang w:val="en-US" w:eastAsia="zh-CN"/>
          <w14:textFill>
            <w14:solidFill>
              <w14:schemeClr w14:val="tx1"/>
            </w14:solidFill>
          </w14:textFill>
        </w:rPr>
        <w:t>13.3</w:t>
      </w:r>
      <w:r>
        <w:rPr>
          <w:rFonts w:hint="eastAsia" w:eastAsia="仿宋"/>
          <w:color w:val="000000" w:themeColor="text1"/>
          <w:sz w:val="30"/>
          <w:szCs w:val="30"/>
          <w:highlight w:val="none"/>
          <w14:textFill>
            <w14:solidFill>
              <w14:schemeClr w14:val="tx1"/>
            </w14:solidFill>
          </w14:textFill>
        </w:rPr>
        <w:t>亿元，智慧水利投资</w:t>
      </w:r>
      <w:r>
        <w:rPr>
          <w:rFonts w:hint="eastAsia" w:eastAsia="仿宋"/>
          <w:color w:val="000000" w:themeColor="text1"/>
          <w:sz w:val="30"/>
          <w:szCs w:val="30"/>
          <w:highlight w:val="none"/>
          <w:lang w:val="en-US" w:eastAsia="zh-CN"/>
          <w14:textFill>
            <w14:solidFill>
              <w14:schemeClr w14:val="tx1"/>
            </w14:solidFill>
          </w14:textFill>
        </w:rPr>
        <w:t>0.6亿元，水生态价值转换投资2亿元</w:t>
      </w:r>
      <w:r>
        <w:rPr>
          <w:rFonts w:hint="eastAsia" w:eastAsia="仿宋"/>
          <w:color w:val="000000" w:themeColor="text1"/>
          <w:sz w:val="30"/>
          <w:szCs w:val="30"/>
          <w:highlight w:val="none"/>
          <w14:textFill>
            <w14:solidFill>
              <w14:schemeClr w14:val="tx1"/>
            </w14:solidFill>
          </w14:textFill>
        </w:rPr>
        <w:t>。</w:t>
      </w:r>
    </w:p>
    <w:p>
      <w:pPr>
        <w:ind w:firstLine="0" w:firstLineChars="0"/>
        <w:jc w:val="left"/>
        <w:rPr>
          <w:rFonts w:hint="eastAsia"/>
          <w:lang w:eastAsia="zh-CN"/>
        </w:rPr>
      </w:pPr>
      <w:r>
        <w:drawing>
          <wp:inline distT="0" distB="0" distL="114300" distR="114300">
            <wp:extent cx="5873115" cy="4843145"/>
            <wp:effectExtent l="4445" t="4445" r="8890" b="10160"/>
            <wp:docPr id="103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keepLines/>
        <w:ind w:firstLine="602"/>
        <w:outlineLvl w:val="1"/>
        <w:rPr>
          <w:rFonts w:eastAsia="仿宋"/>
          <w:b/>
          <w:bCs/>
          <w:color w:val="000000" w:themeColor="text1"/>
          <w:sz w:val="30"/>
          <w:szCs w:val="30"/>
          <w:highlight w:val="none"/>
          <w14:textFill>
            <w14:solidFill>
              <w14:schemeClr w14:val="tx1"/>
            </w14:solidFill>
          </w14:textFill>
        </w:rPr>
      </w:pPr>
      <w:bookmarkStart w:id="67" w:name="_Toc53764418"/>
      <w:bookmarkStart w:id="68" w:name="_Toc4872"/>
      <w:bookmarkStart w:id="69" w:name="_Toc12216"/>
      <w:r>
        <w:rPr>
          <w:rFonts w:hint="eastAsia" w:eastAsia="仿宋"/>
          <w:b/>
          <w:bCs/>
          <w:color w:val="000000" w:themeColor="text1"/>
          <w:sz w:val="30"/>
          <w:szCs w:val="30"/>
          <w:highlight w:val="none"/>
          <w:lang w:val="en-US" w:eastAsia="zh-CN"/>
          <w14:textFill>
            <w14:solidFill>
              <w14:schemeClr w14:val="tx1"/>
            </w14:solidFill>
          </w14:textFill>
        </w:rPr>
        <w:t xml:space="preserve">5.2 </w:t>
      </w:r>
      <w:r>
        <w:rPr>
          <w:rFonts w:hint="eastAsia" w:eastAsia="仿宋"/>
          <w:b/>
          <w:bCs/>
          <w:color w:val="000000" w:themeColor="text1"/>
          <w:sz w:val="30"/>
          <w:szCs w:val="30"/>
          <w:highlight w:val="none"/>
          <w14:textFill>
            <w14:solidFill>
              <w14:schemeClr w14:val="tx1"/>
            </w14:solidFill>
          </w14:textFill>
        </w:rPr>
        <w:t>资金筹措</w:t>
      </w:r>
      <w:bookmarkEnd w:id="67"/>
      <w:bookmarkEnd w:id="68"/>
      <w:bookmarkEnd w:id="69"/>
    </w:p>
    <w:p>
      <w:pPr>
        <w:keepNext w:val="0"/>
        <w:keepLines w:val="0"/>
        <w:pageBreakBefore w:val="0"/>
        <w:widowControl/>
        <w:kinsoku/>
        <w:wordWrap/>
        <w:overflowPunct/>
        <w:topLinePunct w:val="0"/>
        <w:autoSpaceDE/>
        <w:autoSpaceDN/>
        <w:bidi w:val="0"/>
        <w:adjustRightInd/>
        <w:snapToGrid/>
        <w:ind w:firstLine="600"/>
        <w:textAlignment w:val="auto"/>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eastAsia="zh-CN"/>
          <w14:textFill>
            <w14:solidFill>
              <w14:schemeClr w14:val="tx1"/>
            </w14:solidFill>
          </w14:textFill>
        </w:rPr>
        <w:t>云和县</w:t>
      </w:r>
      <w:r>
        <w:rPr>
          <w:rFonts w:hint="eastAsia" w:ascii="仿宋" w:hAnsi="仿宋" w:eastAsia="仿宋"/>
          <w:color w:val="000000" w:themeColor="text1"/>
          <w:sz w:val="30"/>
          <w:szCs w:val="30"/>
          <w:highlight w:val="none"/>
          <w14:textFill>
            <w14:solidFill>
              <w14:schemeClr w14:val="tx1"/>
            </w14:solidFill>
          </w14:textFill>
        </w:rPr>
        <w:t>“十四五”水利工程资金投入</w:t>
      </w:r>
      <w:r>
        <w:rPr>
          <w:rFonts w:hint="eastAsia" w:ascii="仿宋" w:hAnsi="仿宋" w:eastAsia="仿宋"/>
          <w:color w:val="000000" w:themeColor="text1"/>
          <w:sz w:val="30"/>
          <w:szCs w:val="30"/>
          <w:highlight w:val="none"/>
          <w:lang w:val="en-US" w:eastAsia="zh-CN"/>
          <w14:textFill>
            <w14:solidFill>
              <w14:schemeClr w14:val="tx1"/>
            </w14:solidFill>
          </w14:textFill>
        </w:rPr>
        <w:t>上级补助为主、</w:t>
      </w:r>
      <w:r>
        <w:rPr>
          <w:rFonts w:hint="eastAsia" w:ascii="仿宋" w:hAnsi="仿宋" w:eastAsia="仿宋"/>
          <w:color w:val="000000" w:themeColor="text1"/>
          <w:sz w:val="30"/>
          <w:szCs w:val="30"/>
          <w:highlight w:val="none"/>
          <w14:textFill>
            <w14:solidFill>
              <w14:schemeClr w14:val="tx1"/>
            </w14:solidFill>
          </w14:textFill>
        </w:rPr>
        <w:t>地方投入为</w:t>
      </w:r>
      <w:r>
        <w:rPr>
          <w:rFonts w:hint="eastAsia" w:ascii="仿宋" w:hAnsi="仿宋" w:eastAsia="仿宋"/>
          <w:color w:val="000000" w:themeColor="text1"/>
          <w:sz w:val="30"/>
          <w:szCs w:val="30"/>
          <w:highlight w:val="none"/>
          <w:lang w:val="en-US" w:eastAsia="zh-CN"/>
          <w14:textFill>
            <w14:solidFill>
              <w14:schemeClr w14:val="tx1"/>
            </w14:solidFill>
          </w14:textFill>
        </w:rPr>
        <w:t>辅</w:t>
      </w:r>
      <w:r>
        <w:rPr>
          <w:rFonts w:hint="eastAsia" w:ascii="仿宋" w:hAnsi="仿宋" w:eastAsia="仿宋"/>
          <w:color w:val="000000" w:themeColor="text1"/>
          <w:sz w:val="30"/>
          <w:szCs w:val="30"/>
          <w:highlight w:val="none"/>
          <w14:textFill>
            <w14:solidFill>
              <w14:schemeClr w14:val="tx1"/>
            </w14:solidFill>
          </w14:textFill>
        </w:rPr>
        <w:t>，坚持地方自筹、国家扶持的原则，建立政府引导、市场推动、多元投入、社会参与的投入机制，鼓励和引导社会资金参与水利工程建设。</w:t>
      </w:r>
    </w:p>
    <w:p>
      <w:pPr>
        <w:ind w:firstLine="6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1、继续将水利作为政府公共财政投入的重点领域，进一步提高财政性资金对水利投入的总量和增幅。</w:t>
      </w:r>
    </w:p>
    <w:p>
      <w:pPr>
        <w:ind w:firstLine="6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2、按照《浙江省地方水利建设基金筹集与使用管理实施细则》等办法足额征收地方水利建设基金、水资源费以及水土保持补偿费等规费。完善水资源有偿使用制度，合理调整水资源费征收标准。</w:t>
      </w:r>
    </w:p>
    <w:p>
      <w:pPr>
        <w:ind w:firstLine="600"/>
        <w:rPr>
          <w:rFonts w:hint="default" w:ascii="仿宋" w:hAnsi="仿宋" w:eastAsia="仿宋" w:cs="Times New Roman"/>
          <w:color w:val="000000" w:themeColor="text1"/>
          <w:sz w:val="30"/>
          <w:szCs w:val="30"/>
          <w:highlight w:val="none"/>
          <w:lang w:val="en-US"/>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3、加强与金融机构合作，充分利用过桥贷款、抵押补充贷款（PSL）等优惠金融</w:t>
      </w:r>
      <w:r>
        <w:rPr>
          <w:rFonts w:hint="eastAsia" w:ascii="仿宋" w:hAnsi="仿宋" w:eastAsia="仿宋" w:cs="Times New Roman"/>
          <w:color w:val="000000" w:themeColor="text1"/>
          <w:sz w:val="30"/>
          <w:szCs w:val="30"/>
          <w:highlight w:val="none"/>
          <w14:textFill>
            <w14:solidFill>
              <w14:schemeClr w14:val="tx1"/>
            </w14:solidFill>
          </w14:textFill>
        </w:rPr>
        <w:t>政策，增加水利信贷资金。</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同时通过“两山银行”将山水林田湖等生态资源</w:t>
      </w:r>
      <w:r>
        <w:rPr>
          <w:rFonts w:hint="eastAsia" w:ascii="仿宋" w:hAnsi="仿宋" w:eastAsia="仿宋" w:cs="Times New Roman"/>
          <w:color w:val="000000" w:themeColor="text1"/>
          <w:sz w:val="30"/>
          <w:szCs w:val="30"/>
          <w:highlight w:val="none"/>
          <w14:textFill>
            <w14:solidFill>
              <w14:schemeClr w14:val="tx1"/>
            </w14:solidFill>
          </w14:textFill>
        </w:rPr>
        <w:t>向资产、资本转化。</w:t>
      </w:r>
    </w:p>
    <w:p>
      <w:pPr>
        <w:ind w:firstLine="6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4、完善相关政策，鼓励和引导社会资本通过PPP</w:t>
      </w:r>
      <w:r>
        <w:rPr>
          <w:rFonts w:hint="eastAsia" w:ascii="仿宋" w:hAnsi="仿宋" w:eastAsia="仿宋"/>
          <w:color w:val="000000" w:themeColor="text1"/>
          <w:sz w:val="30"/>
          <w:szCs w:val="30"/>
          <w:highlight w:val="none"/>
          <w:lang w:eastAsia="zh-CN"/>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EPC及FEPC</w:t>
      </w:r>
      <w:r>
        <w:rPr>
          <w:rFonts w:hint="eastAsia" w:ascii="仿宋" w:hAnsi="仿宋" w:eastAsia="仿宋"/>
          <w:color w:val="000000" w:themeColor="text1"/>
          <w:sz w:val="30"/>
          <w:szCs w:val="30"/>
          <w:highlight w:val="none"/>
          <w14:textFill>
            <w14:solidFill>
              <w14:schemeClr w14:val="tx1"/>
            </w14:solidFill>
          </w14:textFill>
        </w:rPr>
        <w:t>等模式参与重大水利工程建设运营。</w:t>
      </w:r>
    </w:p>
    <w:p>
      <w:pPr>
        <w:ind w:firstLine="600"/>
        <w:rPr>
          <w:rFonts w:ascii="仿宋" w:hAnsi="仿宋" w:eastAsia="仿宋"/>
          <w:color w:val="000000" w:themeColor="text1"/>
          <w:sz w:val="30"/>
          <w:szCs w:val="30"/>
          <w:highlight w:val="yellow"/>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5、积极争取国家专项建设基金、</w:t>
      </w:r>
      <w:r>
        <w:rPr>
          <w:rFonts w:hint="eastAsia" w:ascii="仿宋" w:hAnsi="仿宋" w:eastAsia="仿宋"/>
          <w:color w:val="000000" w:themeColor="text1"/>
          <w:sz w:val="30"/>
          <w:szCs w:val="30"/>
          <w:highlight w:val="none"/>
          <w:lang w:val="en-US" w:eastAsia="zh-CN"/>
          <w14:textFill>
            <w14:solidFill>
              <w14:schemeClr w14:val="tx1"/>
            </w14:solidFill>
          </w14:textFill>
        </w:rPr>
        <w:t>专项债券资金及</w:t>
      </w:r>
      <w:r>
        <w:rPr>
          <w:rFonts w:hint="eastAsia" w:ascii="仿宋" w:hAnsi="仿宋" w:eastAsia="仿宋"/>
          <w:color w:val="000000" w:themeColor="text1"/>
          <w:sz w:val="30"/>
          <w:szCs w:val="30"/>
          <w:highlight w:val="none"/>
          <w14:textFill>
            <w14:solidFill>
              <w14:schemeClr w14:val="tx1"/>
            </w14:solidFill>
          </w14:textFill>
        </w:rPr>
        <w:t>省级农业发展投资基金等对水利的支持。</w:t>
      </w:r>
    </w:p>
    <w:p>
      <w:pPr>
        <w:ind w:firstLine="480"/>
        <w:rPr>
          <w:color w:val="000000" w:themeColor="text1"/>
          <w:highlight w:val="yellow"/>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cols w:space="720" w:num="1"/>
          <w:docGrid w:linePitch="381" w:charSpace="0"/>
        </w:sectPr>
      </w:pPr>
    </w:p>
    <w:p>
      <w:pPr>
        <w:pStyle w:val="3"/>
        <w:rPr>
          <w:rFonts w:ascii="仿宋" w:hAnsi="仿宋" w:eastAsia="仿宋" w:cs="仿宋"/>
          <w:color w:val="000000" w:themeColor="text1"/>
          <w14:textFill>
            <w14:solidFill>
              <w14:schemeClr w14:val="tx1"/>
            </w14:solidFill>
          </w14:textFill>
        </w:rPr>
      </w:pPr>
      <w:bookmarkStart w:id="70" w:name="_Toc3523"/>
      <w:bookmarkStart w:id="71" w:name="_Toc26524"/>
      <w:r>
        <w:rPr>
          <w:rFonts w:hint="eastAsia" w:ascii="仿宋" w:hAnsi="仿宋" w:eastAsia="仿宋" w:cs="仿宋"/>
          <w:color w:val="000000" w:themeColor="text1"/>
          <w:lang w:val="en-US" w:eastAsia="zh-CN"/>
          <w14:textFill>
            <w14:solidFill>
              <w14:schemeClr w14:val="tx1"/>
            </w14:solidFill>
          </w14:textFill>
        </w:rPr>
        <w:t>六</w:t>
      </w:r>
      <w:r>
        <w:rPr>
          <w:rFonts w:hint="eastAsia" w:ascii="仿宋" w:hAnsi="仿宋" w:eastAsia="仿宋" w:cs="仿宋"/>
          <w:color w:val="000000" w:themeColor="text1"/>
          <w14:textFill>
            <w14:solidFill>
              <w14:schemeClr w14:val="tx1"/>
            </w14:solidFill>
          </w14:textFill>
        </w:rPr>
        <w:t>、保障措施</w:t>
      </w:r>
      <w:bookmarkEnd w:id="70"/>
      <w:bookmarkEnd w:id="71"/>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五”时期，水利建设任务重、改革难度大、管理要求高，要进一步统一思想，加强组织领导，强化协调配合，保障建设要素，加大政策支持，扩大公众参与，采取切实有力的措施，保障各项规划任务顺利完成。</w:t>
      </w:r>
    </w:p>
    <w:p>
      <w:pPr>
        <w:keepNext/>
        <w:keepLines/>
        <w:ind w:firstLine="602"/>
        <w:outlineLvl w:val="1"/>
        <w:rPr>
          <w:rFonts w:hint="eastAsia" w:eastAsia="仿宋"/>
          <w:b/>
          <w:bCs/>
          <w:color w:val="000000" w:themeColor="text1"/>
          <w:sz w:val="30"/>
          <w:szCs w:val="30"/>
          <w:highlight w:val="none"/>
          <w:lang w:val="en-US" w:eastAsia="zh-CN"/>
          <w14:textFill>
            <w14:solidFill>
              <w14:schemeClr w14:val="tx1"/>
            </w14:solidFill>
          </w14:textFill>
        </w:rPr>
      </w:pPr>
      <w:bookmarkStart w:id="72" w:name="_Toc29737"/>
      <w:bookmarkStart w:id="73" w:name="_Toc6944"/>
      <w:r>
        <w:rPr>
          <w:rFonts w:hint="eastAsia" w:eastAsia="仿宋"/>
          <w:b/>
          <w:bCs/>
          <w:color w:val="000000" w:themeColor="text1"/>
          <w:sz w:val="30"/>
          <w:szCs w:val="30"/>
          <w:highlight w:val="none"/>
          <w:lang w:val="en-US" w:eastAsia="zh-CN"/>
          <w14:textFill>
            <w14:solidFill>
              <w14:schemeClr w14:val="tx1"/>
            </w14:solidFill>
          </w14:textFill>
        </w:rPr>
        <w:t>6.1 加强领导，落实责任</w:t>
      </w:r>
      <w:bookmarkEnd w:id="72"/>
      <w:bookmarkEnd w:id="73"/>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从全局角度和战略高度重视水利改革发展，加强组织领导，建立和完善水利与发展改革、财政、</w:t>
      </w:r>
      <w:r>
        <w:rPr>
          <w:rFonts w:hint="eastAsia" w:ascii="仿宋" w:hAnsi="仿宋" w:eastAsia="仿宋" w:cs="仿宋"/>
          <w:color w:val="000000" w:themeColor="text1"/>
          <w:sz w:val="30"/>
          <w:szCs w:val="30"/>
          <w:lang w:val="en-US" w:eastAsia="zh-CN"/>
          <w14:textFill>
            <w14:solidFill>
              <w14:schemeClr w14:val="tx1"/>
            </w14:solidFill>
          </w14:textFill>
        </w:rPr>
        <w:t>自然</w:t>
      </w:r>
      <w:r>
        <w:rPr>
          <w:rFonts w:hint="eastAsia" w:ascii="仿宋" w:hAnsi="仿宋" w:eastAsia="仿宋" w:cs="仿宋"/>
          <w:color w:val="000000" w:themeColor="text1"/>
          <w:sz w:val="30"/>
          <w:szCs w:val="30"/>
          <w14:textFill>
            <w14:solidFill>
              <w14:schemeClr w14:val="tx1"/>
            </w14:solidFill>
          </w14:textFill>
        </w:rPr>
        <w:t>资源、建设、交通运输、生态环境、农业、林业等多部门协作机制，争取政策支持，合力推进规划实施。水行政主管部门要深化细化工作方案，将规划任务分解落实到各责任主体，明确时间节点，明晰任务表、路线图、责任单，咬定目标不放松，严格考核，确保责任到位、措施到位、投入到位。</w:t>
      </w:r>
    </w:p>
    <w:p>
      <w:pPr>
        <w:keepNext/>
        <w:keepLines/>
        <w:ind w:firstLine="602"/>
        <w:outlineLvl w:val="1"/>
        <w:rPr>
          <w:rFonts w:hint="eastAsia" w:eastAsia="仿宋"/>
          <w:b/>
          <w:bCs/>
          <w:color w:val="000000" w:themeColor="text1"/>
          <w:sz w:val="30"/>
          <w:szCs w:val="30"/>
          <w:highlight w:val="none"/>
          <w:lang w:val="en-US" w:eastAsia="zh-CN"/>
          <w14:textFill>
            <w14:solidFill>
              <w14:schemeClr w14:val="tx1"/>
            </w14:solidFill>
          </w14:textFill>
        </w:rPr>
      </w:pPr>
      <w:bookmarkStart w:id="74" w:name="_Toc23303"/>
      <w:bookmarkStart w:id="75" w:name="_Toc15567"/>
      <w:r>
        <w:rPr>
          <w:rFonts w:hint="eastAsia" w:eastAsia="仿宋"/>
          <w:b/>
          <w:bCs/>
          <w:color w:val="000000" w:themeColor="text1"/>
          <w:sz w:val="30"/>
          <w:szCs w:val="30"/>
          <w:highlight w:val="none"/>
          <w:lang w:val="en-US" w:eastAsia="zh-CN"/>
          <w14:textFill>
            <w14:solidFill>
              <w14:schemeClr w14:val="tx1"/>
            </w14:solidFill>
          </w14:textFill>
        </w:rPr>
        <w:t>6.2 深化前期，加快进度</w:t>
      </w:r>
      <w:bookmarkEnd w:id="74"/>
      <w:bookmarkEnd w:id="75"/>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五”期间，水利项目尤其是重大水利项目建设任务重，要提前谋划，统筹安排，突出抓好水利项目前期工作。落实前期工作责任制，确保工作进度，提高成果质量。依法依规简化前期工作程序和审批流程。加强技术咨询提前介入，确保前期工作质量，强化项目推进的服务与督查，帮助协调解决项目推进存在的困难和问题，确保项目早开工、快建设。更加强调重大水利项目功能的综合性。</w:t>
      </w:r>
    </w:p>
    <w:p>
      <w:pPr>
        <w:keepNext/>
        <w:keepLines/>
        <w:ind w:firstLine="602"/>
        <w:outlineLvl w:val="1"/>
        <w:rPr>
          <w:rFonts w:hint="eastAsia" w:eastAsia="仿宋"/>
          <w:b/>
          <w:bCs/>
          <w:color w:val="000000" w:themeColor="text1"/>
          <w:sz w:val="30"/>
          <w:szCs w:val="30"/>
          <w:highlight w:val="none"/>
          <w:lang w:val="en-US" w:eastAsia="zh-CN"/>
          <w14:textFill>
            <w14:solidFill>
              <w14:schemeClr w14:val="tx1"/>
            </w14:solidFill>
          </w14:textFill>
        </w:rPr>
      </w:pPr>
      <w:bookmarkStart w:id="76" w:name="_Toc17737"/>
      <w:bookmarkStart w:id="77" w:name="_Toc29470"/>
      <w:r>
        <w:rPr>
          <w:rFonts w:hint="eastAsia" w:eastAsia="仿宋"/>
          <w:b/>
          <w:bCs/>
          <w:color w:val="000000" w:themeColor="text1"/>
          <w:sz w:val="30"/>
          <w:szCs w:val="30"/>
          <w:highlight w:val="none"/>
          <w:lang w:val="en-US" w:eastAsia="zh-CN"/>
          <w14:textFill>
            <w14:solidFill>
              <w14:schemeClr w14:val="tx1"/>
            </w14:solidFill>
          </w14:textFill>
        </w:rPr>
        <w:t>6.3 加大投入，要素保障</w:t>
      </w:r>
      <w:bookmarkEnd w:id="76"/>
      <w:bookmarkEnd w:id="77"/>
    </w:p>
    <w:p>
      <w:pPr>
        <w:ind w:firstLine="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发挥政府在水利建设中的主导作用，加大公共财政投入力度。积极争取上级财政资金的支持。鼓励符合条件的工程，通过直接或间接融资方式，拓宽水利投融资渠道，广泛吸引社会资本参与水利工程建设运营。主动协调</w:t>
      </w:r>
      <w:r>
        <w:rPr>
          <w:rFonts w:hint="eastAsia" w:ascii="仿宋" w:hAnsi="仿宋" w:eastAsia="仿宋" w:cs="仿宋"/>
          <w:color w:val="000000" w:themeColor="text1"/>
          <w:sz w:val="30"/>
          <w:szCs w:val="30"/>
          <w:lang w:val="en-US" w:eastAsia="zh-CN"/>
          <w14:textFill>
            <w14:solidFill>
              <w14:schemeClr w14:val="tx1"/>
            </w14:solidFill>
          </w14:textFill>
        </w:rPr>
        <w:t>自规局</w:t>
      </w:r>
      <w:r>
        <w:rPr>
          <w:rFonts w:hint="eastAsia" w:ascii="仿宋" w:hAnsi="仿宋" w:eastAsia="仿宋" w:cs="仿宋"/>
          <w:color w:val="000000" w:themeColor="text1"/>
          <w:sz w:val="30"/>
          <w:szCs w:val="30"/>
          <w14:textFill>
            <w14:solidFill>
              <w14:schemeClr w14:val="tx1"/>
            </w14:solidFill>
          </w14:textFill>
        </w:rPr>
        <w:t>等相关部门，保障纳入本规划的重大水利项目用地需求。大力引进、培养和用好水利管理、工程技术和高技能人才，健全水利人才向基层流动的激励机制，为科学治水管水提供人才保障和智力支持。</w:t>
      </w:r>
    </w:p>
    <w:p>
      <w:pPr>
        <w:keepNext/>
        <w:keepLines/>
        <w:ind w:firstLine="602"/>
        <w:outlineLvl w:val="1"/>
        <w:rPr>
          <w:rFonts w:hint="eastAsia" w:eastAsia="仿宋"/>
          <w:b/>
          <w:bCs/>
          <w:color w:val="000000" w:themeColor="text1"/>
          <w:sz w:val="30"/>
          <w:szCs w:val="30"/>
          <w:highlight w:val="none"/>
          <w:lang w:val="en-US" w:eastAsia="zh-CN"/>
          <w14:textFill>
            <w14:solidFill>
              <w14:schemeClr w14:val="tx1"/>
            </w14:solidFill>
          </w14:textFill>
        </w:rPr>
      </w:pPr>
      <w:bookmarkStart w:id="78" w:name="_Toc21516"/>
      <w:bookmarkStart w:id="79" w:name="_Toc7325"/>
      <w:r>
        <w:rPr>
          <w:rFonts w:hint="eastAsia" w:eastAsia="仿宋"/>
          <w:b/>
          <w:bCs/>
          <w:color w:val="000000" w:themeColor="text1"/>
          <w:sz w:val="30"/>
          <w:szCs w:val="30"/>
          <w:highlight w:val="none"/>
          <w:lang w:val="en-US" w:eastAsia="zh-CN"/>
          <w14:textFill>
            <w14:solidFill>
              <w14:schemeClr w14:val="tx1"/>
            </w14:solidFill>
          </w14:textFill>
        </w:rPr>
        <w:t>6.4 加强宣传，凝聚共识</w:t>
      </w:r>
      <w:bookmarkEnd w:id="78"/>
      <w:bookmarkEnd w:id="79"/>
    </w:p>
    <w:p>
      <w:pPr>
        <w:ind w:firstLine="600"/>
        <w:rPr>
          <w:rFonts w:ascii="仿宋" w:hAnsi="仿宋" w:eastAsia="仿宋" w:cs="仿宋"/>
          <w:color w:val="000000" w:themeColor="text1"/>
          <w:sz w:val="30"/>
          <w:szCs w:val="30"/>
          <w14:textFill>
            <w14:solidFill>
              <w14:schemeClr w14:val="tx1"/>
            </w14:solidFill>
          </w14:textFill>
        </w:rPr>
        <w:sectPr>
          <w:pgSz w:w="11907" w:h="16840"/>
          <w:pgMar w:top="1474" w:right="1588" w:bottom="1474" w:left="1588" w:header="851" w:footer="851" w:gutter="0"/>
          <w:pgBorders>
            <w:top w:val="none" w:sz="0" w:space="0"/>
            <w:left w:val="none" w:sz="0" w:space="0"/>
            <w:bottom w:val="none" w:sz="0" w:space="0"/>
            <w:right w:val="none" w:sz="0" w:space="0"/>
          </w:pgBorders>
          <w:cols w:space="720" w:num="1"/>
          <w:docGrid w:linePitch="381" w:charSpace="0"/>
        </w:sectPr>
      </w:pPr>
      <w:r>
        <w:rPr>
          <w:rFonts w:hint="eastAsia" w:ascii="仿宋" w:hAnsi="仿宋" w:eastAsia="仿宋" w:cs="仿宋"/>
          <w:color w:val="000000" w:themeColor="text1"/>
          <w:sz w:val="30"/>
          <w:szCs w:val="30"/>
          <w14:textFill>
            <w14:solidFill>
              <w14:schemeClr w14:val="tx1"/>
            </w14:solidFill>
          </w14:textFill>
        </w:rPr>
        <w:t>完善信息公开发布制度和公众参与制度，通过教育培训、典型示范、展览展示、主题宣传、新闻发布等，加大水安全、水资源、水生态、水文化宣传力度，提高全社会水忧患和水危机意识、节约和保护水资源意识、灾害防御自救意识，宣传水利规划成果，最大程度凝聚社会共识，形成全社会共同推动“十四五”水利改革发展的良好氛围。</w:t>
      </w:r>
    </w:p>
    <w:tbl>
      <w:tblPr>
        <w:tblStyle w:val="22"/>
        <w:tblW w:w="50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324"/>
        <w:gridCol w:w="1026"/>
        <w:gridCol w:w="2524"/>
        <w:gridCol w:w="860"/>
        <w:gridCol w:w="720"/>
        <w:gridCol w:w="970"/>
        <w:gridCol w:w="837"/>
        <w:gridCol w:w="548"/>
        <w:gridCol w:w="560"/>
        <w:gridCol w:w="590"/>
        <w:gridCol w:w="550"/>
        <w:gridCol w:w="590"/>
        <w:gridCol w:w="768"/>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748" w:type="pct"/>
            <w:gridSpan w:val="14"/>
            <w:tcBorders>
              <w:top w:val="nil"/>
              <w:left w:val="nil"/>
              <w:right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云和县“十四五”水利项目规划表</w:t>
            </w:r>
          </w:p>
        </w:tc>
        <w:tc>
          <w:tcPr>
            <w:tcW w:w="251" w:type="pct"/>
            <w:tcBorders>
              <w:top w:val="nil"/>
              <w:left w:val="nil"/>
              <w:right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序号</w:t>
            </w:r>
          </w:p>
        </w:tc>
        <w:tc>
          <w:tcPr>
            <w:tcW w:w="82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项目名称</w:t>
            </w:r>
          </w:p>
        </w:tc>
        <w:tc>
          <w:tcPr>
            <w:tcW w:w="36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cs="宋体"/>
                <w:b/>
                <w:kern w:val="0"/>
                <w:sz w:val="16"/>
                <w:szCs w:val="18"/>
                <w:lang w:val="en-US" w:eastAsia="zh-CN"/>
              </w:rPr>
            </w:pPr>
            <w:r>
              <w:rPr>
                <w:rFonts w:hint="eastAsia" w:ascii="宋体" w:hAnsi="宋体" w:cs="宋体"/>
                <w:b/>
                <w:kern w:val="0"/>
                <w:sz w:val="16"/>
                <w:szCs w:val="18"/>
                <w:lang w:val="en-US" w:eastAsia="zh-CN"/>
              </w:rPr>
              <w:t>建设性质</w:t>
            </w:r>
          </w:p>
        </w:tc>
        <w:tc>
          <w:tcPr>
            <w:tcW w:w="8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cs="宋体"/>
                <w:b/>
                <w:kern w:val="0"/>
                <w:sz w:val="16"/>
                <w:szCs w:val="18"/>
                <w:lang w:val="en-US" w:eastAsia="zh-CN"/>
              </w:rPr>
            </w:pPr>
            <w:r>
              <w:rPr>
                <w:rFonts w:hint="eastAsia" w:ascii="宋体" w:hAnsi="宋体" w:cs="宋体"/>
                <w:b/>
                <w:kern w:val="0"/>
                <w:sz w:val="16"/>
                <w:szCs w:val="18"/>
                <w:lang w:val="en-US" w:eastAsia="zh-CN"/>
              </w:rPr>
              <w:t>主要建设内容</w:t>
            </w:r>
          </w:p>
        </w:tc>
        <w:tc>
          <w:tcPr>
            <w:tcW w:w="30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建设年限</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eastAsia="宋体" w:cs="宋体"/>
                <w:b/>
                <w:kern w:val="0"/>
                <w:sz w:val="16"/>
                <w:szCs w:val="18"/>
                <w:lang w:eastAsia="zh-CN"/>
              </w:rPr>
            </w:pPr>
            <w:r>
              <w:rPr>
                <w:rFonts w:hint="eastAsia" w:ascii="宋体" w:hAnsi="宋体" w:cs="宋体"/>
                <w:b/>
                <w:kern w:val="0"/>
                <w:sz w:val="16"/>
                <w:szCs w:val="18"/>
                <w:lang w:eastAsia="zh-CN"/>
              </w:rPr>
              <w:t>（</w:t>
            </w:r>
            <w:r>
              <w:rPr>
                <w:rFonts w:hint="eastAsia" w:ascii="宋体" w:hAnsi="宋体" w:cs="宋体"/>
                <w:b/>
                <w:kern w:val="0"/>
                <w:sz w:val="16"/>
                <w:szCs w:val="18"/>
                <w:lang w:val="en-US" w:eastAsia="zh-CN"/>
              </w:rPr>
              <w:t>十四五期间</w:t>
            </w:r>
            <w:r>
              <w:rPr>
                <w:rFonts w:hint="eastAsia" w:ascii="宋体" w:hAnsi="宋体" w:cs="宋体"/>
                <w:b/>
                <w:kern w:val="0"/>
                <w:sz w:val="16"/>
                <w:szCs w:val="18"/>
                <w:lang w:eastAsia="zh-CN"/>
              </w:rPr>
              <w:t>）</w:t>
            </w:r>
          </w:p>
        </w:tc>
        <w:tc>
          <w:tcPr>
            <w:tcW w:w="25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总投资</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w:t>
            </w:r>
            <w:r>
              <w:rPr>
                <w:rFonts w:hint="eastAsia" w:ascii="宋体" w:hAnsi="宋体" w:cs="宋体"/>
                <w:b/>
                <w:kern w:val="0"/>
                <w:sz w:val="16"/>
                <w:szCs w:val="18"/>
                <w:lang w:val="en-US" w:eastAsia="zh-CN"/>
              </w:rPr>
              <w:t>亿元</w:t>
            </w:r>
            <w:r>
              <w:rPr>
                <w:rFonts w:hint="eastAsia" w:ascii="宋体" w:hAnsi="宋体" w:cs="宋体"/>
                <w:b/>
                <w:kern w:val="0"/>
                <w:sz w:val="16"/>
                <w:szCs w:val="18"/>
              </w:rPr>
              <w:t>)</w:t>
            </w:r>
          </w:p>
        </w:tc>
        <w:tc>
          <w:tcPr>
            <w:tcW w:w="34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lang w:val="en-US" w:eastAsia="zh-CN"/>
              </w:rPr>
            </w:pPr>
            <w:r>
              <w:rPr>
                <w:rFonts w:hint="eastAsia" w:ascii="宋体" w:hAnsi="宋体" w:cs="宋体"/>
                <w:b/>
                <w:kern w:val="0"/>
                <w:sz w:val="16"/>
                <w:szCs w:val="18"/>
                <w:lang w:val="en-US" w:eastAsia="zh-CN"/>
              </w:rPr>
              <w:t>2020年累计完投资</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eastAsia="宋体" w:cs="宋体"/>
                <w:b/>
                <w:kern w:val="0"/>
                <w:sz w:val="16"/>
                <w:szCs w:val="18"/>
                <w:lang w:val="en-US" w:eastAsia="zh-CN"/>
              </w:rPr>
            </w:pPr>
            <w:r>
              <w:rPr>
                <w:rFonts w:hint="eastAsia" w:ascii="宋体" w:hAnsi="宋体" w:cs="宋体"/>
                <w:b/>
                <w:kern w:val="0"/>
                <w:sz w:val="16"/>
                <w:szCs w:val="18"/>
                <w:lang w:val="en-US" w:eastAsia="zh-CN"/>
              </w:rPr>
              <w:t>（亿元）</w:t>
            </w:r>
          </w:p>
        </w:tc>
        <w:tc>
          <w:tcPr>
            <w:tcW w:w="29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w:t>
            </w:r>
            <w:r>
              <w:rPr>
                <w:rFonts w:hint="eastAsia" w:ascii="宋体" w:hAnsi="宋体" w:cs="宋体"/>
                <w:b/>
                <w:kern w:val="0"/>
                <w:sz w:val="16"/>
                <w:szCs w:val="18"/>
                <w:lang w:val="en-US" w:eastAsia="zh-CN"/>
              </w:rPr>
              <w:t>十四五</w:t>
            </w:r>
            <w:r>
              <w:rPr>
                <w:rFonts w:hint="eastAsia" w:ascii="宋体" w:hAnsi="宋体" w:cs="宋体"/>
                <w:b/>
                <w:kern w:val="0"/>
                <w:sz w:val="16"/>
                <w:szCs w:val="18"/>
              </w:rPr>
              <w:t>”投资(</w:t>
            </w:r>
            <w:r>
              <w:rPr>
                <w:rFonts w:hint="eastAsia" w:ascii="宋体" w:hAnsi="宋体" w:cs="宋体"/>
                <w:b/>
                <w:kern w:val="0"/>
                <w:sz w:val="16"/>
                <w:szCs w:val="18"/>
                <w:lang w:val="en-US" w:eastAsia="zh-CN"/>
              </w:rPr>
              <w:t>亿元</w:t>
            </w:r>
            <w:r>
              <w:rPr>
                <w:rFonts w:hint="eastAsia" w:ascii="宋体" w:hAnsi="宋体" w:cs="宋体"/>
                <w:b/>
                <w:kern w:val="0"/>
                <w:sz w:val="16"/>
                <w:szCs w:val="18"/>
              </w:rPr>
              <w:t>)</w:t>
            </w:r>
          </w:p>
        </w:tc>
        <w:tc>
          <w:tcPr>
            <w:tcW w:w="1276" w:type="pct"/>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r>
              <w:rPr>
                <w:rFonts w:hint="eastAsia" w:ascii="宋体" w:hAnsi="宋体" w:cs="宋体"/>
                <w:b/>
                <w:kern w:val="0"/>
                <w:sz w:val="16"/>
                <w:szCs w:val="18"/>
              </w:rPr>
              <w:t>“</w:t>
            </w:r>
            <w:r>
              <w:rPr>
                <w:rFonts w:hint="eastAsia" w:ascii="宋体" w:hAnsi="宋体" w:cs="宋体"/>
                <w:b/>
                <w:kern w:val="0"/>
                <w:sz w:val="16"/>
                <w:szCs w:val="18"/>
                <w:lang w:val="en-US" w:eastAsia="zh-CN"/>
              </w:rPr>
              <w:t>十四五</w:t>
            </w:r>
            <w:r>
              <w:rPr>
                <w:rFonts w:hint="eastAsia" w:ascii="宋体" w:hAnsi="宋体" w:cs="宋体"/>
                <w:b/>
                <w:kern w:val="0"/>
                <w:sz w:val="16"/>
                <w:szCs w:val="18"/>
              </w:rPr>
              <w:t>”分年度投资安排计划（</w:t>
            </w:r>
            <w:r>
              <w:rPr>
                <w:rFonts w:hint="eastAsia" w:ascii="宋体" w:hAnsi="宋体" w:cs="宋体"/>
                <w:b/>
                <w:kern w:val="0"/>
                <w:sz w:val="16"/>
                <w:szCs w:val="18"/>
                <w:lang w:val="en-US" w:eastAsia="zh-CN"/>
              </w:rPr>
              <w:t>亿元</w:t>
            </w:r>
            <w:r>
              <w:rPr>
                <w:rFonts w:hint="eastAsia" w:ascii="宋体" w:hAnsi="宋体" w:cs="宋体"/>
                <w:b/>
                <w:kern w:val="0"/>
                <w:sz w:val="16"/>
                <w:szCs w:val="18"/>
              </w:rPr>
              <w:t>）</w:t>
            </w:r>
          </w:p>
        </w:tc>
        <w:tc>
          <w:tcPr>
            <w:tcW w:w="25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eastAsia="宋体" w:cs="宋体"/>
                <w:b/>
                <w:kern w:val="0"/>
                <w:sz w:val="16"/>
                <w:szCs w:val="18"/>
                <w:lang w:val="en-US" w:eastAsia="zh-CN"/>
              </w:rPr>
            </w:pPr>
            <w:r>
              <w:rPr>
                <w:rFonts w:hint="eastAsia" w:ascii="宋体" w:hAnsi="宋体" w:cs="宋体"/>
                <w:b/>
                <w:kern w:val="0"/>
                <w:sz w:val="16"/>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82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36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8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30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25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34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29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rPr>
            </w:pPr>
          </w:p>
        </w:tc>
        <w:tc>
          <w:tcPr>
            <w:tcW w:w="1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eastAsia="宋体"/>
                <w:b/>
                <w:kern w:val="0"/>
                <w:sz w:val="16"/>
                <w:szCs w:val="18"/>
                <w:lang w:val="en-US" w:eastAsia="zh-CN"/>
              </w:rPr>
            </w:pPr>
            <w:r>
              <w:rPr>
                <w:rFonts w:hint="eastAsia" w:ascii="宋体" w:hAnsi="宋体"/>
                <w:b/>
                <w:kern w:val="0"/>
                <w:sz w:val="16"/>
                <w:szCs w:val="18"/>
                <w:lang w:val="en-US" w:eastAsia="zh-CN"/>
              </w:rPr>
              <w:t>2021</w:t>
            </w:r>
          </w:p>
        </w:tc>
        <w:tc>
          <w:tcPr>
            <w:tcW w:w="1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eastAsia="宋体"/>
                <w:b/>
                <w:kern w:val="0"/>
                <w:sz w:val="16"/>
                <w:szCs w:val="18"/>
                <w:lang w:val="en-US" w:eastAsia="zh-CN"/>
              </w:rPr>
            </w:pPr>
            <w:r>
              <w:rPr>
                <w:rFonts w:hint="eastAsia" w:ascii="宋体" w:hAnsi="宋体"/>
                <w:b/>
                <w:kern w:val="0"/>
                <w:sz w:val="16"/>
                <w:szCs w:val="18"/>
                <w:lang w:val="en-US" w:eastAsia="zh-CN"/>
              </w:rPr>
              <w:t>2022</w:t>
            </w:r>
          </w:p>
        </w:tc>
        <w:tc>
          <w:tcPr>
            <w:tcW w:w="2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eastAsia="宋体"/>
                <w:b/>
                <w:kern w:val="0"/>
                <w:sz w:val="16"/>
                <w:szCs w:val="18"/>
                <w:lang w:val="en-US" w:eastAsia="zh-CN"/>
              </w:rPr>
            </w:pPr>
            <w:r>
              <w:rPr>
                <w:rFonts w:hint="eastAsia" w:ascii="宋体" w:hAnsi="宋体"/>
                <w:b/>
                <w:kern w:val="0"/>
                <w:sz w:val="16"/>
                <w:szCs w:val="18"/>
                <w:lang w:val="en-US" w:eastAsia="zh-CN"/>
              </w:rPr>
              <w:t>2023</w:t>
            </w:r>
          </w:p>
        </w:tc>
        <w:tc>
          <w:tcPr>
            <w:tcW w:w="19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eastAsia="宋体"/>
                <w:b/>
                <w:kern w:val="0"/>
                <w:sz w:val="16"/>
                <w:szCs w:val="18"/>
                <w:lang w:val="en-US" w:eastAsia="zh-CN"/>
              </w:rPr>
            </w:pPr>
            <w:r>
              <w:rPr>
                <w:rFonts w:hint="eastAsia" w:ascii="宋体" w:hAnsi="宋体"/>
                <w:b/>
                <w:kern w:val="0"/>
                <w:sz w:val="16"/>
                <w:szCs w:val="18"/>
                <w:lang w:val="en-US" w:eastAsia="zh-CN"/>
              </w:rPr>
              <w:t>2024</w:t>
            </w:r>
          </w:p>
        </w:tc>
        <w:tc>
          <w:tcPr>
            <w:tcW w:w="2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eastAsia="宋体"/>
                <w:b/>
                <w:kern w:val="0"/>
                <w:sz w:val="16"/>
                <w:szCs w:val="18"/>
                <w:lang w:val="en-US" w:eastAsia="zh-CN"/>
              </w:rPr>
            </w:pPr>
            <w:r>
              <w:rPr>
                <w:rFonts w:hint="eastAsia" w:ascii="宋体" w:hAnsi="宋体"/>
                <w:b/>
                <w:kern w:val="0"/>
                <w:sz w:val="16"/>
                <w:szCs w:val="18"/>
                <w:lang w:val="en-US" w:eastAsia="zh-CN"/>
              </w:rPr>
              <w:t>2025</w:t>
            </w:r>
          </w:p>
        </w:tc>
        <w:tc>
          <w:tcPr>
            <w:tcW w:w="2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default" w:ascii="宋体" w:hAnsi="宋体"/>
                <w:b/>
                <w:kern w:val="0"/>
                <w:sz w:val="16"/>
                <w:szCs w:val="18"/>
                <w:lang w:val="en-US" w:eastAsia="zh-CN"/>
              </w:rPr>
            </w:pPr>
            <w:r>
              <w:rPr>
                <w:rFonts w:hint="default" w:ascii="宋体" w:hAnsi="宋体"/>
                <w:b/>
                <w:kern w:val="0"/>
                <w:sz w:val="16"/>
                <w:szCs w:val="18"/>
                <w:lang w:val="en-US" w:eastAsia="zh-CN"/>
              </w:rPr>
              <w:t>2026～2035年</w:t>
            </w:r>
          </w:p>
        </w:tc>
        <w:tc>
          <w:tcPr>
            <w:tcW w:w="25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rPr>
                <w:rFonts w:hint="eastAsia" w:ascii="宋体" w:hAnsi="宋体" w:cs="宋体"/>
                <w:b/>
                <w:kern w:val="0"/>
                <w:sz w:val="16"/>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cs="宋体"/>
                <w:b/>
                <w:bCs/>
                <w:i w:val="0"/>
                <w:color w:val="auto"/>
                <w:kern w:val="0"/>
                <w:sz w:val="15"/>
                <w:szCs w:val="15"/>
                <w:highlight w:val="none"/>
                <w:u w:val="none"/>
                <w:lang w:val="en-US" w:eastAsia="zh-CN" w:bidi="ar"/>
              </w:rPr>
            </w:pPr>
            <w:r>
              <w:rPr>
                <w:rFonts w:hint="eastAsia" w:ascii="宋体" w:hAnsi="宋体" w:cs="宋体"/>
                <w:b/>
                <w:bCs/>
                <w:i w:val="0"/>
                <w:color w:val="auto"/>
                <w:kern w:val="0"/>
                <w:sz w:val="15"/>
                <w:szCs w:val="15"/>
                <w:highlight w:val="none"/>
                <w:u w:val="none"/>
                <w:lang w:val="en-US" w:eastAsia="zh-CN" w:bidi="ar"/>
              </w:rPr>
              <w:t>一</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eastAsia="宋体" w:cs="宋体"/>
                <w:b/>
                <w:bCs/>
                <w:i w:val="0"/>
                <w:color w:val="auto"/>
                <w:kern w:val="0"/>
                <w:sz w:val="15"/>
                <w:szCs w:val="15"/>
                <w:highlight w:val="none"/>
                <w:u w:val="none"/>
                <w:lang w:val="en-US" w:eastAsia="zh-CN" w:bidi="ar"/>
              </w:rPr>
            </w:pPr>
            <w:r>
              <w:rPr>
                <w:rFonts w:hint="eastAsia" w:ascii="宋体" w:hAnsi="宋体" w:cs="宋体"/>
                <w:b/>
                <w:bCs/>
                <w:i w:val="0"/>
                <w:color w:val="auto"/>
                <w:kern w:val="0"/>
                <w:sz w:val="15"/>
                <w:szCs w:val="15"/>
                <w:highlight w:val="none"/>
                <w:u w:val="none"/>
                <w:lang w:val="en-US" w:eastAsia="zh-CN" w:bidi="ar"/>
              </w:rPr>
              <w:t>防洪保安</w:t>
            </w:r>
          </w:p>
        </w:tc>
        <w:tc>
          <w:tcPr>
            <w:tcW w:w="3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eastAsia="宋体" w:cs="宋体"/>
                <w:b/>
                <w:bCs/>
                <w:i w:val="0"/>
                <w:color w:val="auto"/>
                <w:kern w:val="0"/>
                <w:sz w:val="13"/>
                <w:szCs w:val="13"/>
                <w:highlight w:val="yellow"/>
                <w:u w:val="none"/>
                <w:lang w:val="en-US" w:eastAsia="zh-CN" w:bidi="ar"/>
              </w:rPr>
            </w:pPr>
          </w:p>
        </w:tc>
        <w:tc>
          <w:tcPr>
            <w:tcW w:w="8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yellow"/>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yellow"/>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yellow"/>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yellow"/>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yellow"/>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eastAsia" w:ascii="宋体" w:hAnsi="宋体" w:eastAsia="宋体" w:cs="宋体"/>
                <w:b/>
                <w:bCs/>
                <w:i w:val="0"/>
                <w:color w:val="auto"/>
                <w:kern w:val="0"/>
                <w:sz w:val="11"/>
                <w:szCs w:val="11"/>
                <w:highlight w:val="yellow"/>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（一）</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default" w:ascii="宋体" w:hAnsi="宋体" w:eastAsia="宋体" w:cs="宋体"/>
                <w:b/>
                <w:bCs/>
                <w:i w:val="0"/>
                <w:color w:val="auto"/>
                <w:kern w:val="0"/>
                <w:sz w:val="13"/>
                <w:szCs w:val="13"/>
                <w:u w:val="none"/>
                <w:lang w:val="en-US" w:eastAsia="zh-CN" w:bidi="ar"/>
              </w:rPr>
            </w:pPr>
            <w:r>
              <w:rPr>
                <w:rFonts w:hint="eastAsia" w:ascii="宋体" w:hAnsi="宋体" w:cs="宋体"/>
                <w:b/>
                <w:bCs/>
                <w:i w:val="0"/>
                <w:color w:val="auto"/>
                <w:kern w:val="0"/>
                <w:sz w:val="13"/>
                <w:szCs w:val="13"/>
                <w:u w:val="none"/>
                <w:lang w:val="en-US" w:eastAsia="zh-CN" w:bidi="ar"/>
              </w:rPr>
              <w:t>中小河流域治理工程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u w:val="none"/>
                <w:lang w:val="en-US" w:eastAsia="zh-CN" w:bidi="ar"/>
              </w:rPr>
            </w:pP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1</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安溪流域综合治理工程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治理河道长度5公里，对岸坡进行生态化设计</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2021-2023</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0.8</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0.8</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2</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黄溪流域综合治理工程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改造提升黄溪河道长度2.47km，黄溪河道整理38223m2</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r>
              <w:rPr>
                <w:rFonts w:hint="eastAsia" w:cs="Times New Roman"/>
                <w:b/>
                <w:bCs/>
                <w:i w:val="0"/>
                <w:color w:val="auto"/>
                <w:kern w:val="0"/>
                <w:sz w:val="13"/>
                <w:szCs w:val="13"/>
                <w:highlight w:val="none"/>
                <w:u w:val="none"/>
                <w:lang w:val="en-US" w:eastAsia="zh-CN" w:bidi="ar"/>
              </w:rPr>
              <w:t>.0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0.4</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储备类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3</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泉溪流域综合治理工程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治理河长15公里，建设堤防及护岸16公里，新建截洪沟1.9公里，改造提升堰坝14座，修复湿地3.9万平方米，</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0.4</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4</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雾溪流域综合治理工程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治理河道长度3公里，对岸坡进行生态化改造</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0.5</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0.5</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5</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梅垄溪水生态治理修复工程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治理河长5公里，对岸坡进行生态化改造，生态修复</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2023-2025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r>
              <w:rPr>
                <w:rFonts w:hint="eastAsia" w:cs="Times New Roman"/>
                <w:b/>
                <w:bCs/>
                <w:i w:val="0"/>
                <w:color w:val="auto"/>
                <w:kern w:val="0"/>
                <w:sz w:val="13"/>
                <w:szCs w:val="13"/>
                <w:highlight w:val="none"/>
                <w:u w:val="none"/>
                <w:lang w:val="en-US" w:eastAsia="zh-CN" w:bidi="ar"/>
              </w:rPr>
              <w:t>.0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0.4</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6</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沙溪流域综合治理工程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治理河长5公里，对岸坡进行生态化改造</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r>
              <w:rPr>
                <w:rFonts w:hint="eastAsia" w:cs="Times New Roman"/>
                <w:b/>
                <w:bCs/>
                <w:i w:val="0"/>
                <w:color w:val="auto"/>
                <w:kern w:val="0"/>
                <w:sz w:val="13"/>
                <w:szCs w:val="13"/>
                <w:highlight w:val="none"/>
                <w:u w:val="none"/>
                <w:lang w:val="en-US" w:eastAsia="zh-CN" w:bidi="ar"/>
              </w:rPr>
              <w:t>.0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7</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云坛溪流域综合治理工程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治理河道长度4.9公里，对岸坡进行生态化改造</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2021-2023</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0.8</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0.8</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8</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桥头坑流域综合治理工程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新建堤防和护岸5km</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2023-2025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0.5</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0.5</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9</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石塘坑流域综合治理工程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治理河长8公里,涉及防汛通道工程，亲水步道工程、堰坝工程、堤防（护岸）工程、生态修复工程以及交叉建筑物建设</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2022-2023</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0.5</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0.5</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0.25</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0.25</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10</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石门坑流域综合治理工程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治理河长7公里,涉及防汛通道工程，亲水步道工程、堰坝工程、堤防（护岸）工程、生态修复工程以及交叉建筑物建设</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2023-2024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0.4</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0.4</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0.11</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0.29</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11</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梧桐坑流域综合治理工程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新建堤防和护岸8km</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5"/>
                <w:szCs w:val="15"/>
                <w:highlight w:val="none"/>
                <w:u w:val="none"/>
                <w:lang w:val="en-US" w:eastAsia="zh-CN" w:bidi="ar"/>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（二）</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5"/>
                <w:szCs w:val="15"/>
                <w:highlight w:val="none"/>
                <w:u w:val="none"/>
                <w:lang w:val="en-US" w:eastAsia="zh-CN" w:bidi="ar"/>
              </w:rPr>
            </w:pPr>
            <w:r>
              <w:rPr>
                <w:rFonts w:hint="eastAsia" w:ascii="宋体" w:hAnsi="宋体" w:cs="宋体"/>
                <w:b/>
                <w:bCs/>
                <w:i w:val="0"/>
                <w:color w:val="auto"/>
                <w:kern w:val="0"/>
                <w:sz w:val="15"/>
                <w:szCs w:val="15"/>
                <w:highlight w:val="none"/>
                <w:u w:val="none"/>
                <w:lang w:val="en-US" w:eastAsia="zh-CN" w:bidi="ar"/>
              </w:rPr>
              <w:t>其他工程</w:t>
            </w:r>
          </w:p>
        </w:tc>
        <w:tc>
          <w:tcPr>
            <w:tcW w:w="3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8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eastAsia" w:ascii="宋体" w:hAnsi="宋体" w:eastAsia="宋体" w:cs="宋体"/>
                <w:b/>
                <w:bCs/>
                <w:i w:val="0"/>
                <w:color w:val="auto"/>
                <w:kern w:val="0"/>
                <w:sz w:val="11"/>
                <w:szCs w:val="1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1</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黄溪水库新建工程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在黄溪上游处河坑村夫人殿附近新建小型水库一座，总库容300万立方米，并采用隧洞联通至梅垄水库进行分洪，隧洞长约3.5公里</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2.0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1.0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0.5</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0.5</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r>
              <w:rPr>
                <w:rFonts w:hint="eastAsia" w:cs="Times New Roman"/>
                <w:b/>
                <w:bCs/>
                <w:i w:val="0"/>
                <w:color w:val="auto"/>
                <w:kern w:val="0"/>
                <w:sz w:val="11"/>
                <w:szCs w:val="11"/>
                <w:highlight w:val="none"/>
                <w:u w:val="none"/>
                <w:lang w:val="en-US" w:eastAsia="zh-CN" w:bidi="ar"/>
              </w:rPr>
              <w:t>1.0</w:t>
            </w: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研究类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2</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山塘综合整治工程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山塘综合整治工程34座</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0.3</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3</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小型水库</w:t>
            </w:r>
            <w:r>
              <w:rPr>
                <w:rFonts w:hint="eastAsia" w:ascii="宋体" w:hAnsi="宋体" w:cs="宋体"/>
                <w:b/>
                <w:bCs/>
                <w:i w:val="0"/>
                <w:color w:val="auto"/>
                <w:kern w:val="0"/>
                <w:sz w:val="13"/>
                <w:szCs w:val="13"/>
                <w:highlight w:val="none"/>
                <w:u w:val="none"/>
                <w:lang w:val="en-US" w:eastAsia="zh-CN" w:bidi="ar"/>
              </w:rPr>
              <w:t>系统治理</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15座水库系统治理</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w:t>
            </w:r>
            <w:r>
              <w:rPr>
                <w:rFonts w:hint="eastAsia" w:cs="Times New Roman"/>
                <w:b/>
                <w:bCs/>
                <w:i w:val="0"/>
                <w:color w:val="auto"/>
                <w:kern w:val="0"/>
                <w:sz w:val="13"/>
                <w:szCs w:val="13"/>
                <w:highlight w:val="none"/>
                <w:u w:val="none"/>
                <w:lang w:val="en-US" w:eastAsia="zh-CN" w:bidi="ar"/>
              </w:rPr>
              <w:t>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w:t>
            </w:r>
            <w:r>
              <w:rPr>
                <w:rFonts w:hint="eastAsia" w:cs="Times New Roman"/>
                <w:b/>
                <w:bCs/>
                <w:i w:val="0"/>
                <w:color w:val="auto"/>
                <w:kern w:val="0"/>
                <w:sz w:val="13"/>
                <w:szCs w:val="13"/>
                <w:highlight w:val="none"/>
                <w:u w:val="none"/>
                <w:lang w:val="en-US" w:eastAsia="zh-CN" w:bidi="ar"/>
              </w:rPr>
              <w:t>2</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0.05</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0.05</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0.05</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0.05</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4</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山洪沟治理工程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实施泉溪等3条山洪沟治理</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0.3</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5"/>
                <w:szCs w:val="15"/>
                <w:highlight w:val="none"/>
                <w:u w:val="none"/>
                <w:lang w:val="en-US" w:eastAsia="zh-CN" w:bidi="ar"/>
              </w:rPr>
            </w:pPr>
            <w:r>
              <w:rPr>
                <w:rFonts w:hint="eastAsia" w:ascii="宋体" w:hAnsi="宋体" w:cs="宋体"/>
                <w:b/>
                <w:bCs/>
                <w:i w:val="0"/>
                <w:color w:val="auto"/>
                <w:kern w:val="0"/>
                <w:sz w:val="15"/>
                <w:szCs w:val="15"/>
                <w:highlight w:val="none"/>
                <w:u w:val="none"/>
                <w:lang w:val="en-US" w:eastAsia="zh-CN" w:bidi="ar"/>
              </w:rPr>
              <w:t>二</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eastAsia="宋体" w:cs="宋体"/>
                <w:b/>
                <w:bCs/>
                <w:i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5"/>
                <w:szCs w:val="15"/>
                <w:highlight w:val="none"/>
                <w:u w:val="none"/>
                <w:lang w:val="en-US" w:eastAsia="zh-CN" w:bidi="ar"/>
                <w14:textFill>
                  <w14:solidFill>
                    <w14:schemeClr w14:val="tx1"/>
                  </w14:solidFill>
                </w14:textFill>
              </w:rPr>
              <w:t>水资源保障</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000000" w:themeColor="text1"/>
                <w:kern w:val="0"/>
                <w:sz w:val="11"/>
                <w:szCs w:val="11"/>
                <w:highlight w:val="none"/>
                <w:u w:val="none"/>
                <w:lang w:val="en-US" w:eastAsia="zh-CN" w:bidi="ar"/>
                <w14:textFill>
                  <w14:solidFill>
                    <w14:schemeClr w14:val="tx1"/>
                  </w14:solidFill>
                </w14:textFill>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eastAsia" w:ascii="宋体" w:hAnsi="宋体" w:eastAsia="宋体" w:cs="宋体"/>
                <w:b/>
                <w:bCs/>
                <w:i w:val="0"/>
                <w:color w:val="000000" w:themeColor="text1"/>
                <w:kern w:val="0"/>
                <w:sz w:val="11"/>
                <w:szCs w:val="11"/>
                <w:highlight w:val="none"/>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1</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沈坑门水库新建工程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在崇溪上游严坑新建小型水库一座，总库容90万立方米，解决崇头水厂供水，同时修复下游水生态</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w:t>
            </w:r>
            <w:r>
              <w:rPr>
                <w:rFonts w:hint="eastAsia" w:cs="Times New Roman"/>
                <w:b/>
                <w:bCs/>
                <w:i w:val="0"/>
                <w:color w:val="auto"/>
                <w:kern w:val="0"/>
                <w:sz w:val="13"/>
                <w:szCs w:val="13"/>
                <w:highlight w:val="none"/>
                <w:u w:val="none"/>
                <w:lang w:val="en-US" w:eastAsia="zh-CN" w:bidi="ar"/>
              </w:rPr>
              <w:t>2</w:t>
            </w:r>
            <w:r>
              <w:rPr>
                <w:rFonts w:hint="default" w:ascii="Times New Roman" w:hAnsi="Times New Roman" w:eastAsia="宋体" w:cs="Times New Roman"/>
                <w:b/>
                <w:bCs/>
                <w:i w:val="0"/>
                <w:color w:val="auto"/>
                <w:kern w:val="0"/>
                <w:sz w:val="13"/>
                <w:szCs w:val="13"/>
                <w:highlight w:val="none"/>
                <w:u w:val="none"/>
                <w:lang w:val="en-US" w:eastAsia="zh-CN" w:bidi="ar"/>
              </w:rPr>
              <w:t>-202</w:t>
            </w:r>
            <w:r>
              <w:rPr>
                <w:rFonts w:hint="eastAsia" w:cs="Times New Roman"/>
                <w:b/>
                <w:bCs/>
                <w:i w:val="0"/>
                <w:color w:val="auto"/>
                <w:kern w:val="0"/>
                <w:sz w:val="13"/>
                <w:szCs w:val="13"/>
                <w:highlight w:val="none"/>
                <w:u w:val="none"/>
                <w:lang w:val="en-US" w:eastAsia="zh-CN" w:bidi="ar"/>
              </w:rPr>
              <w:t>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0.3</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0.3</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default" w:ascii="宋体" w:hAnsi="宋体" w:cs="宋体"/>
                <w:b/>
                <w:bCs/>
                <w:i w:val="0"/>
                <w:color w:val="auto"/>
                <w:kern w:val="0"/>
                <w:sz w:val="13"/>
                <w:szCs w:val="13"/>
                <w:highlight w:val="none"/>
                <w:u w:val="none"/>
                <w:lang w:val="en-US" w:eastAsia="zh-CN" w:bidi="ar"/>
              </w:rPr>
              <w:t>2</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梓枋水库工程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新建小型水库一座，总库容0.01亿m³</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r>
              <w:rPr>
                <w:rFonts w:hint="eastAsia" w:ascii="Times New Roman" w:hAnsi="Times New Roman" w:eastAsia="宋体" w:cs="Times New Roman"/>
                <w:b/>
                <w:bCs/>
                <w:i w:val="0"/>
                <w:color w:val="auto"/>
                <w:kern w:val="0"/>
                <w:sz w:val="13"/>
                <w:szCs w:val="13"/>
                <w:highlight w:val="none"/>
                <w:u w:val="none"/>
                <w:lang w:val="en-US" w:eastAsia="zh-CN" w:bidi="ar"/>
              </w:rPr>
              <w:t>.0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w:t>
            </w:r>
            <w:r>
              <w:rPr>
                <w:rFonts w:hint="eastAsia" w:cs="Times New Roman"/>
                <w:b/>
                <w:bCs/>
                <w:i w:val="0"/>
                <w:color w:val="auto"/>
                <w:kern w:val="0"/>
                <w:sz w:val="13"/>
                <w:szCs w:val="13"/>
                <w:highlight w:val="none"/>
                <w:u w:val="none"/>
                <w:lang w:val="en-US" w:eastAsia="zh-CN" w:bidi="ar"/>
              </w:rPr>
              <w:t>7</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研究类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3</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云和县县域供水工程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续建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云和县城、崇头镇、石塘镇、紧水滩镇、安溪乡、赤石乡水厂扩建及管网延伸；规模化集中供水工程建设、小型供水工程升级改造、老旧供水工程更新改造、信息化管理能力的提升（监测设施配备）。</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1.0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1.0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4</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农村饮用水水源地保障工程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新建农村供水水源50处，提升改造86处</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0.5</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0.5</w:t>
            </w:r>
            <w:r>
              <w:rPr>
                <w:rFonts w:hint="eastAsia" w:ascii="Times New Roman" w:hAnsi="Times New Roman" w:eastAsia="宋体" w:cs="Times New Roman"/>
                <w:b/>
                <w:bCs/>
                <w:i w:val="0"/>
                <w:color w:val="auto"/>
                <w:kern w:val="0"/>
                <w:sz w:val="13"/>
                <w:szCs w:val="13"/>
                <w:highlight w:val="none"/>
                <w:u w:val="none"/>
                <w:lang w:val="en-US" w:eastAsia="zh-CN" w:bidi="ar"/>
              </w:rPr>
              <w:t>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0.1</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储备类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5"/>
                <w:szCs w:val="15"/>
                <w:highlight w:val="none"/>
                <w:u w:val="none"/>
                <w:lang w:val="en-US" w:eastAsia="zh-CN" w:bidi="ar"/>
                <w14:textFill>
                  <w14:solidFill>
                    <w14:schemeClr w14:val="tx1"/>
                  </w14:solidFill>
                </w14:textFill>
              </w:rPr>
              <w:t>三</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eastAsia="宋体" w:cs="宋体"/>
                <w:b/>
                <w:bCs/>
                <w:i w:val="0"/>
                <w:color w:val="auto"/>
                <w:kern w:val="0"/>
                <w:sz w:val="15"/>
                <w:szCs w:val="15"/>
                <w:highlight w:val="none"/>
                <w:u w:val="none"/>
                <w:lang w:val="en-US" w:eastAsia="zh-CN" w:bidi="ar"/>
              </w:rPr>
            </w:pPr>
            <w:r>
              <w:rPr>
                <w:rFonts w:hint="eastAsia" w:ascii="宋体" w:hAnsi="宋体" w:cs="宋体"/>
                <w:b/>
                <w:bCs/>
                <w:i w:val="0"/>
                <w:color w:val="auto"/>
                <w:kern w:val="0"/>
                <w:sz w:val="15"/>
                <w:szCs w:val="15"/>
                <w:highlight w:val="none"/>
                <w:u w:val="none"/>
                <w:lang w:val="en-US" w:eastAsia="zh-CN" w:bidi="ar"/>
              </w:rPr>
              <w:t>水生态环境</w:t>
            </w:r>
          </w:p>
        </w:tc>
        <w:tc>
          <w:tcPr>
            <w:tcW w:w="3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343" w:type="pct"/>
            <w:tcBorders>
              <w:tl2br w:val="nil"/>
              <w:tr2bl w:val="nil"/>
            </w:tcBorders>
            <w:noWrap w:val="0"/>
            <w:vAlign w:val="center"/>
          </w:tcPr>
          <w:p>
            <w:pPr>
              <w:keepNext w:val="0"/>
              <w:keepLines w:val="0"/>
              <w:pageBreakBefore w:val="0"/>
              <w:widowControl/>
              <w:kinsoku/>
              <w:wordWrap/>
              <w:overflowPunct/>
              <w:topLinePunct w:val="0"/>
              <w:autoSpaceDE/>
              <w:autoSpaceDN/>
              <w:bidi w:val="0"/>
              <w:snapToGrid/>
              <w:ind w:firstLine="0" w:firstLineChars="0"/>
              <w:jc w:val="center"/>
              <w:rPr>
                <w:rFonts w:hint="eastAsia" w:ascii="Times New Roman" w:hAnsi="Times New Roman" w:eastAsia="宋体" w:cs="Times New Roman"/>
                <w:b/>
                <w:bCs/>
                <w:i w:val="0"/>
                <w:color w:val="auto"/>
                <w:kern w:val="0"/>
                <w:sz w:val="11"/>
                <w:szCs w:val="11"/>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default" w:ascii="宋体" w:hAnsi="宋体" w:eastAsia="宋体" w:cs="宋体"/>
                <w:b/>
                <w:bCs/>
                <w:i w:val="0"/>
                <w:color w:val="auto"/>
                <w:kern w:val="0"/>
                <w:sz w:val="11"/>
                <w:szCs w:val="1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1</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云和县龙泉溪治理二期工程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续建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建设护岸</w:t>
            </w:r>
            <w:r>
              <w:rPr>
                <w:rFonts w:hint="default" w:ascii="宋体" w:hAnsi="宋体" w:eastAsia="宋体" w:cs="宋体"/>
                <w:b/>
                <w:bCs/>
                <w:i w:val="0"/>
                <w:color w:val="auto"/>
                <w:kern w:val="0"/>
                <w:sz w:val="13"/>
                <w:szCs w:val="13"/>
                <w:highlight w:val="none"/>
                <w:u w:val="none"/>
                <w:lang w:val="en-US" w:eastAsia="zh-CN" w:bidi="ar"/>
              </w:rPr>
              <w:t>13.28km</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2021-2023</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0.4</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0.4</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2</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浮云溪流域综合治理工程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续建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治理河长22.58公里，建设护岸45公里，输水隧洞15公里</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7.5</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4.0</w:t>
            </w: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3.5</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1</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0.5</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3</w:t>
            </w:r>
          </w:p>
        </w:tc>
        <w:tc>
          <w:tcPr>
            <w:tcW w:w="822"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云和县龙泉溪云和段综合治理工程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建设护岸及防汛通道37km，建设护岸及防汛通道37公里,修复生态湿地30公顷，便民设施15处</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7</w:t>
            </w:r>
            <w:r>
              <w:rPr>
                <w:rFonts w:hint="eastAsia" w:ascii="Times New Roman" w:hAnsi="Times New Roman" w:eastAsia="宋体" w:cs="Times New Roman"/>
                <w:b/>
                <w:bCs/>
                <w:i w:val="0"/>
                <w:color w:val="auto"/>
                <w:kern w:val="0"/>
                <w:sz w:val="13"/>
                <w:szCs w:val="13"/>
                <w:highlight w:val="none"/>
                <w:u w:val="none"/>
                <w:lang w:val="en-US" w:eastAsia="zh-CN" w:bidi="ar"/>
              </w:rPr>
              <w:t>.0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3</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0.1</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0.7</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0.7</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0.7</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0.8</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4.0</w:t>
            </w: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4</w:t>
            </w:r>
          </w:p>
        </w:tc>
        <w:tc>
          <w:tcPr>
            <w:tcW w:w="822"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浮云溪城区段生态化提升改造工程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配合引调水工程，对城区浮云溪进行生态化改造，生态修复</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3.0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2.3</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0.6</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0.7</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0.7</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0.7</w:t>
            </w: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5</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农村水系整治</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治理小流域50余条共100公里，项目涉及10个乡镇街道71个行政村庄。保护人口3万人，保护农田1.5万亩</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2.6</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w:t>
            </w:r>
            <w:r>
              <w:rPr>
                <w:rFonts w:hint="eastAsia" w:cs="Times New Roman"/>
                <w:b/>
                <w:bCs/>
                <w:i w:val="0"/>
                <w:color w:val="auto"/>
                <w:kern w:val="0"/>
                <w:sz w:val="13"/>
                <w:szCs w:val="13"/>
                <w:highlight w:val="none"/>
                <w:u w:val="none"/>
                <w:lang w:val="en-US" w:eastAsia="zh-CN" w:bidi="ar"/>
              </w:rPr>
              <w:t>.6</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w:t>
            </w:r>
            <w:r>
              <w:rPr>
                <w:rFonts w:hint="eastAsia" w:cs="Times New Roman"/>
                <w:b/>
                <w:bCs/>
                <w:i w:val="0"/>
                <w:color w:val="auto"/>
                <w:kern w:val="0"/>
                <w:sz w:val="13"/>
                <w:szCs w:val="13"/>
                <w:highlight w:val="none"/>
                <w:u w:val="none"/>
                <w:lang w:val="en-US" w:eastAsia="zh-CN" w:bidi="ar"/>
              </w:rPr>
              <w:t>.5</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w:t>
            </w:r>
            <w:r>
              <w:rPr>
                <w:rFonts w:hint="eastAsia" w:cs="Times New Roman"/>
                <w:b/>
                <w:bCs/>
                <w:i w:val="0"/>
                <w:color w:val="auto"/>
                <w:kern w:val="0"/>
                <w:sz w:val="13"/>
                <w:szCs w:val="13"/>
                <w:highlight w:val="none"/>
                <w:u w:val="none"/>
                <w:lang w:val="en-US" w:eastAsia="zh-CN" w:bidi="ar"/>
              </w:rPr>
              <w:t>8</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eastAsia" w:cs="Times New Roman"/>
                <w:b/>
                <w:bCs/>
                <w:i w:val="0"/>
                <w:color w:val="auto"/>
                <w:kern w:val="0"/>
                <w:sz w:val="13"/>
                <w:szCs w:val="13"/>
                <w:highlight w:val="none"/>
                <w:u w:val="none"/>
                <w:lang w:val="en-US" w:eastAsia="zh-CN" w:bidi="ar"/>
              </w:rPr>
              <w:t>1.1</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储备类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3"/>
                <w:szCs w:val="13"/>
                <w:highlight w:val="none"/>
                <w:u w:val="none"/>
                <w:lang w:val="en-US" w:eastAsia="zh-CN" w:bidi="ar"/>
              </w:rPr>
            </w:pPr>
            <w:r>
              <w:rPr>
                <w:rFonts w:hint="eastAsia" w:ascii="宋体" w:hAnsi="宋体" w:cs="宋体"/>
                <w:b/>
                <w:bCs/>
                <w:i w:val="0"/>
                <w:color w:val="auto"/>
                <w:kern w:val="0"/>
                <w:sz w:val="13"/>
                <w:szCs w:val="13"/>
                <w:highlight w:val="none"/>
                <w:u w:val="none"/>
                <w:lang w:val="en-US" w:eastAsia="zh-CN" w:bidi="ar"/>
              </w:rPr>
              <w:t>6</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云和县小流域水土流失治理工程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小顺大坑等小流域共计30km2小流域水土流失治理</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2021-2025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0.3</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0.3</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0.06</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7</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绿色生态小水电建设工程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对靛青山等8座小电站实施更新改造，对泗洲堂</w:t>
            </w:r>
            <w:r>
              <w:rPr>
                <w:rFonts w:hint="eastAsia" w:ascii="宋体" w:hAnsi="宋体" w:cs="宋体"/>
                <w:b/>
                <w:bCs/>
                <w:i w:val="0"/>
                <w:color w:val="auto"/>
                <w:kern w:val="0"/>
                <w:sz w:val="13"/>
                <w:szCs w:val="13"/>
                <w:highlight w:val="none"/>
                <w:u w:val="none"/>
                <w:lang w:val="en-US" w:eastAsia="zh-CN" w:bidi="ar"/>
              </w:rPr>
              <w:t>、靛青山</w:t>
            </w:r>
            <w:r>
              <w:rPr>
                <w:rFonts w:hint="eastAsia" w:ascii="宋体" w:hAnsi="宋体" w:eastAsia="宋体" w:cs="宋体"/>
                <w:b/>
                <w:bCs/>
                <w:i w:val="0"/>
                <w:color w:val="auto"/>
                <w:kern w:val="0"/>
                <w:sz w:val="13"/>
                <w:szCs w:val="13"/>
                <w:highlight w:val="none"/>
                <w:u w:val="none"/>
                <w:lang w:val="en-US" w:eastAsia="zh-CN" w:bidi="ar"/>
              </w:rPr>
              <w:t>等7座水库开展生态示范建设，新建大湾水电站1座</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2022-2024</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eastAsia" w:ascii="Times New Roman" w:hAnsi="Times New Roman" w:eastAsia="宋体" w:cs="Times New Roman"/>
                <w:b/>
                <w:bCs/>
                <w:i w:val="0"/>
                <w:color w:val="auto"/>
                <w:kern w:val="0"/>
                <w:sz w:val="13"/>
                <w:szCs w:val="13"/>
                <w:highlight w:val="none"/>
                <w:u w:val="none"/>
                <w:lang w:val="en-US" w:eastAsia="zh-CN" w:bidi="ar"/>
              </w:rPr>
              <w:t>0.6</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0.6</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r>
              <w:rPr>
                <w:rFonts w:hint="default" w:ascii="Times New Roman" w:hAnsi="Times New Roman" w:eastAsia="宋体" w:cs="Times New Roman"/>
                <w:b/>
                <w:bCs/>
                <w:i w:val="0"/>
                <w:color w:val="auto"/>
                <w:kern w:val="0"/>
                <w:sz w:val="13"/>
                <w:szCs w:val="13"/>
                <w:highlight w:val="none"/>
                <w:u w:val="none"/>
                <w:lang w:val="en-US" w:eastAsia="zh-CN" w:bidi="ar"/>
              </w:rPr>
              <w:t>0.2</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highlight w:val="none"/>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highlight w:val="none"/>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highlight w:val="none"/>
                <w:u w:val="none"/>
                <w:lang w:val="en-US" w:eastAsia="zh-CN" w:bidi="ar"/>
              </w:rPr>
            </w:pPr>
            <w:r>
              <w:rPr>
                <w:rFonts w:hint="eastAsia" w:ascii="宋体" w:hAnsi="宋体" w:eastAsia="宋体" w:cs="宋体"/>
                <w:b/>
                <w:bCs/>
                <w:i w:val="0"/>
                <w:color w:val="auto"/>
                <w:kern w:val="0"/>
                <w:sz w:val="13"/>
                <w:szCs w:val="13"/>
                <w:highlight w:val="none"/>
                <w:u w:val="none"/>
                <w:lang w:val="en-US" w:eastAsia="zh-CN" w:bidi="ar"/>
              </w:rPr>
              <w:t>实施类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5"/>
                <w:szCs w:val="15"/>
                <w:highlight w:val="none"/>
                <w:u w:val="none"/>
                <w:lang w:val="en-US" w:eastAsia="zh-CN" w:bidi="ar"/>
                <w14:textFill>
                  <w14:solidFill>
                    <w14:schemeClr w14:val="tx1"/>
                  </w14:solidFill>
                </w14:textFill>
              </w:rPr>
              <w:t>四</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5"/>
                <w:szCs w:val="15"/>
                <w:u w:val="none"/>
                <w:lang w:val="en-US" w:eastAsia="zh-CN" w:bidi="ar"/>
              </w:rPr>
            </w:pPr>
            <w:r>
              <w:rPr>
                <w:rFonts w:hint="eastAsia" w:ascii="宋体" w:hAnsi="宋体" w:cs="宋体"/>
                <w:b/>
                <w:bCs/>
                <w:i w:val="0"/>
                <w:color w:val="auto"/>
                <w:kern w:val="0"/>
                <w:sz w:val="15"/>
                <w:szCs w:val="15"/>
                <w:u w:val="none"/>
                <w:lang w:val="en-US" w:eastAsia="zh-CN" w:bidi="ar"/>
              </w:rPr>
              <w:t>智慧水利</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u w:val="none"/>
                <w:lang w:val="en-US" w:eastAsia="zh-CN" w:bidi="ar"/>
              </w:rPr>
            </w:pP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宋体" w:hAnsi="宋体" w:eastAsia="宋体" w:cs="宋体"/>
                <w:b/>
                <w:bCs/>
                <w:i w:val="0"/>
                <w:color w:val="auto"/>
                <w:kern w:val="0"/>
                <w:sz w:val="13"/>
                <w:szCs w:val="13"/>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eastAsia" w:ascii="宋体" w:hAnsi="宋体" w:eastAsia="宋体" w:cs="宋体"/>
                <w:b/>
                <w:bCs/>
                <w:i w:val="0"/>
                <w:color w:val="auto"/>
                <w:kern w:val="0"/>
                <w:sz w:val="11"/>
                <w:szCs w:val="1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1</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云和县水文防汛“5+1”工程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新建大中型水库库下流量站2个，改建流量站1个</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2021-2023</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eastAsia" w:ascii="Times New Roman" w:hAnsi="Times New Roman" w:eastAsia="宋体" w:cs="Times New Roman"/>
                <w:b/>
                <w:bCs/>
                <w:i w:val="0"/>
                <w:color w:val="auto"/>
                <w:kern w:val="0"/>
                <w:sz w:val="13"/>
                <w:szCs w:val="13"/>
                <w:u w:val="none"/>
                <w:lang w:val="en-US" w:eastAsia="zh-CN" w:bidi="ar"/>
              </w:rPr>
              <w:t>0.1</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0.1</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0.02</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0.04</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0.04</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管护项目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2</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云和县“数字水利”建设</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感知体系建设、数据仓建设及数据治理工程、业务应用体系建设，打造水管理平台</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eastAsia" w:ascii="Times New Roman" w:hAnsi="Times New Roman" w:eastAsia="宋体" w:cs="Times New Roman"/>
                <w:b/>
                <w:bCs/>
                <w:i w:val="0"/>
                <w:color w:val="auto"/>
                <w:kern w:val="0"/>
                <w:sz w:val="13"/>
                <w:szCs w:val="13"/>
                <w:u w:val="none"/>
                <w:lang w:val="en-US" w:eastAsia="zh-CN" w:bidi="ar"/>
              </w:rPr>
              <w:t>0.</w:t>
            </w:r>
            <w:r>
              <w:rPr>
                <w:rFonts w:hint="eastAsia" w:cs="Times New Roman"/>
                <w:b/>
                <w:bCs/>
                <w:i w:val="0"/>
                <w:color w:val="auto"/>
                <w:kern w:val="0"/>
                <w:sz w:val="13"/>
                <w:szCs w:val="13"/>
                <w:u w:val="none"/>
                <w:lang w:val="en-US" w:eastAsia="zh-CN" w:bidi="ar"/>
              </w:rPr>
              <w:t>5</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0.5</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0.1</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0.2</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管护项目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5"/>
                <w:szCs w:val="15"/>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5"/>
                <w:szCs w:val="15"/>
                <w:highlight w:val="none"/>
                <w:u w:val="none"/>
                <w:lang w:val="en-US" w:eastAsia="zh-CN" w:bidi="ar"/>
                <w14:textFill>
                  <w14:solidFill>
                    <w14:schemeClr w14:val="tx1"/>
                  </w14:solidFill>
                </w14:textFill>
              </w:rPr>
              <w:t>五</w:t>
            </w: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auto"/>
                <w:kern w:val="0"/>
                <w:sz w:val="15"/>
                <w:szCs w:val="15"/>
                <w:u w:val="none"/>
                <w:lang w:val="en-US" w:eastAsia="zh-CN" w:bidi="ar"/>
              </w:rPr>
            </w:pPr>
            <w:r>
              <w:rPr>
                <w:rFonts w:hint="eastAsia" w:ascii="宋体" w:hAnsi="宋体" w:cs="宋体"/>
                <w:b/>
                <w:bCs/>
                <w:i w:val="0"/>
                <w:color w:val="auto"/>
                <w:kern w:val="0"/>
                <w:sz w:val="15"/>
                <w:szCs w:val="15"/>
                <w:u w:val="none"/>
                <w:lang w:val="en-US" w:eastAsia="zh-CN" w:bidi="ar"/>
              </w:rPr>
              <w:t>水生态价值转换</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u w:val="none"/>
                <w:lang w:val="en-US" w:eastAsia="zh-CN" w:bidi="ar"/>
              </w:rPr>
            </w:pP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cs="Times New Roman"/>
                <w:b/>
                <w:bCs/>
                <w:i w:val="0"/>
                <w:color w:val="auto"/>
                <w:kern w:val="0"/>
                <w:sz w:val="11"/>
                <w:szCs w:val="11"/>
                <w:u w:val="none"/>
                <w:lang w:val="en-US" w:eastAsia="zh-CN" w:bidi="ar"/>
              </w:rPr>
            </w:pP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cs="Times New Roman"/>
                <w:b/>
                <w:bCs/>
                <w:i w:val="0"/>
                <w:color w:val="auto"/>
                <w:kern w:val="0"/>
                <w:sz w:val="11"/>
                <w:szCs w:val="11"/>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cs="Times New Roman"/>
                <w:b/>
                <w:bCs/>
                <w:i w:val="0"/>
                <w:color w:val="auto"/>
                <w:kern w:val="0"/>
                <w:sz w:val="11"/>
                <w:szCs w:val="11"/>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cs="Times New Roman"/>
                <w:b/>
                <w:bCs/>
                <w:i w:val="0"/>
                <w:color w:val="auto"/>
                <w:kern w:val="0"/>
                <w:sz w:val="11"/>
                <w:szCs w:val="11"/>
                <w:u w:val="none"/>
                <w:lang w:val="en-US" w:eastAsia="zh-CN" w:bidi="ar"/>
              </w:rPr>
            </w:pP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cs="Times New Roman"/>
                <w:b/>
                <w:bCs/>
                <w:i w:val="0"/>
                <w:color w:val="auto"/>
                <w:kern w:val="0"/>
                <w:sz w:val="11"/>
                <w:szCs w:val="11"/>
                <w:u w:val="none"/>
                <w:lang w:val="en-US" w:eastAsia="zh-CN" w:bidi="ar"/>
              </w:rPr>
            </w:pP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cs="Times New Roman"/>
                <w:b/>
                <w:bCs/>
                <w:i w:val="0"/>
                <w:color w:val="auto"/>
                <w:kern w:val="0"/>
                <w:sz w:val="11"/>
                <w:szCs w:val="11"/>
                <w:u w:val="none"/>
                <w:lang w:val="en-US" w:eastAsia="zh-CN" w:bidi="ar"/>
              </w:rPr>
            </w:pP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eastAsia" w:ascii="宋体" w:hAnsi="宋体" w:eastAsia="宋体" w:cs="宋体"/>
                <w:b/>
                <w:bCs/>
                <w:i w:val="0"/>
                <w:color w:val="auto"/>
                <w:kern w:val="0"/>
                <w:sz w:val="11"/>
                <w:szCs w:val="1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9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cs="宋体"/>
                <w:b/>
                <w:bCs/>
                <w:i w:val="0"/>
                <w:color w:val="000000" w:themeColor="text1"/>
                <w:kern w:val="0"/>
                <w:sz w:val="13"/>
                <w:szCs w:val="13"/>
                <w:highlight w:val="none"/>
                <w:u w:val="none"/>
                <w:lang w:val="en-US" w:eastAsia="zh-CN" w:bidi="ar"/>
                <w14:textFill>
                  <w14:solidFill>
                    <w14:schemeClr w14:val="tx1"/>
                  </w14:solidFill>
                </w14:textFill>
              </w:rPr>
            </w:pPr>
            <w:r>
              <w:rPr>
                <w:rFonts w:hint="eastAsia" w:ascii="宋体" w:hAnsi="宋体" w:cs="宋体"/>
                <w:b/>
                <w:bCs/>
                <w:i w:val="0"/>
                <w:color w:val="000000" w:themeColor="text1"/>
                <w:kern w:val="0"/>
                <w:sz w:val="13"/>
                <w:szCs w:val="13"/>
                <w:highlight w:val="none"/>
                <w:u w:val="none"/>
                <w:lang w:val="en-US" w:eastAsia="zh-CN" w:bidi="ar"/>
                <w14:textFill>
                  <w14:solidFill>
                    <w14:schemeClr w14:val="tx1"/>
                  </w14:solidFill>
                </w14:textFill>
              </w:rPr>
              <w:t>1</w:t>
            </w:r>
          </w:p>
        </w:tc>
        <w:tc>
          <w:tcPr>
            <w:tcW w:w="822" w:type="pct"/>
            <w:tcBorders>
              <w:tl2br w:val="nil"/>
              <w:tr2bl w:val="nil"/>
            </w:tcBorders>
            <w:noWrap w:val="0"/>
            <w:vAlign w:val="center"/>
          </w:tcPr>
          <w:p>
            <w:pPr>
              <w:keepNext w:val="0"/>
              <w:keepLines w:val="0"/>
              <w:widowControl/>
              <w:suppressLineNumbers w:val="0"/>
              <w:ind w:firstLine="261" w:firstLineChars="20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云和县精品水工程</w:t>
            </w:r>
          </w:p>
        </w:tc>
        <w:tc>
          <w:tcPr>
            <w:tcW w:w="363" w:type="pct"/>
            <w:tcBorders>
              <w:tl2br w:val="nil"/>
              <w:tr2bl w:val="nil"/>
            </w:tcBorders>
            <w:noWrap w:val="0"/>
            <w:vAlign w:val="center"/>
          </w:tcPr>
          <w:p>
            <w:pPr>
              <w:keepNext w:val="0"/>
              <w:keepLines w:val="0"/>
              <w:widowControl/>
              <w:suppressLineNumbers w:val="0"/>
              <w:ind w:firstLine="261" w:firstLineChars="200"/>
              <w:jc w:val="both"/>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拟建</w:t>
            </w:r>
          </w:p>
        </w:tc>
        <w:tc>
          <w:tcPr>
            <w:tcW w:w="89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新建精品水厂2座，建设天然水生产供应链</w:t>
            </w: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2022-2025</w:t>
            </w: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ascii="Times New Roman" w:hAnsi="Times New Roman" w:eastAsia="宋体" w:cs="Times New Roman"/>
                <w:b/>
                <w:bCs/>
                <w:i w:val="0"/>
                <w:color w:val="auto"/>
                <w:kern w:val="0"/>
                <w:sz w:val="13"/>
                <w:szCs w:val="13"/>
                <w:u w:val="none"/>
                <w:lang w:val="en-US" w:eastAsia="zh-CN" w:bidi="ar"/>
              </w:rPr>
              <w:t>2.0</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ascii="Times New Roman" w:hAnsi="Times New Roman" w:eastAsia="宋体" w:cs="Times New Roman"/>
                <w:b/>
                <w:bCs/>
                <w:i w:val="0"/>
                <w:color w:val="auto"/>
                <w:kern w:val="0"/>
                <w:sz w:val="13"/>
                <w:szCs w:val="13"/>
                <w:u w:val="none"/>
                <w:lang w:val="en-US" w:eastAsia="zh-CN" w:bidi="ar"/>
              </w:rPr>
              <w:t>2.0</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0.1</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0.4</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0.5</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default" w:ascii="Times New Roman" w:hAnsi="Times New Roman" w:eastAsia="宋体" w:cs="Times New Roman"/>
                <w:b/>
                <w:bCs/>
                <w:i w:val="0"/>
                <w:color w:val="auto"/>
                <w:kern w:val="0"/>
                <w:sz w:val="13"/>
                <w:szCs w:val="13"/>
                <w:u w:val="none"/>
                <w:lang w:val="en-US" w:eastAsia="zh-CN" w:bidi="ar"/>
              </w:rPr>
              <w:t>1</w:t>
            </w:r>
            <w:r>
              <w:rPr>
                <w:rFonts w:hint="eastAsia" w:ascii="Times New Roman" w:hAnsi="Times New Roman" w:eastAsia="宋体" w:cs="Times New Roman"/>
                <w:b/>
                <w:bCs/>
                <w:i w:val="0"/>
                <w:color w:val="auto"/>
                <w:kern w:val="0"/>
                <w:sz w:val="13"/>
                <w:szCs w:val="13"/>
                <w:u w:val="none"/>
                <w:lang w:val="en-US" w:eastAsia="zh-CN" w:bidi="ar"/>
              </w:rPr>
              <w:t>.0</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u w:val="none"/>
                <w:lang w:val="en-US" w:eastAsia="zh-CN" w:bidi="ar"/>
              </w:rPr>
            </w:pPr>
            <w:r>
              <w:rPr>
                <w:rFonts w:hint="eastAsia" w:ascii="宋体" w:hAnsi="宋体" w:eastAsia="宋体" w:cs="宋体"/>
                <w:b/>
                <w:bCs/>
                <w:i w:val="0"/>
                <w:color w:val="auto"/>
                <w:kern w:val="0"/>
                <w:sz w:val="13"/>
                <w:szCs w:val="13"/>
                <w:u w:val="none"/>
                <w:lang w:val="en-US" w:eastAsia="zh-CN" w:bidi="ar"/>
              </w:rPr>
              <w:t>研究类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ind w:firstLine="0" w:firstLineChars="0"/>
              <w:jc w:val="center"/>
              <w:textAlignment w:val="auto"/>
              <w:rPr>
                <w:rFonts w:hint="eastAsia" w:ascii="宋体" w:hAnsi="宋体" w:cs="Times New Roman"/>
                <w:b/>
                <w:bCs/>
                <w:color w:val="auto"/>
                <w:kern w:val="0"/>
                <w:sz w:val="12"/>
                <w:szCs w:val="12"/>
                <w:lang w:val="en-US" w:eastAsia="zh-CN"/>
              </w:rPr>
            </w:pPr>
          </w:p>
        </w:tc>
        <w:tc>
          <w:tcPr>
            <w:tcW w:w="82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default" w:ascii="宋体" w:hAnsi="宋体" w:eastAsia="宋体" w:cs="宋体"/>
                <w:b/>
                <w:bCs/>
                <w:i w:val="0"/>
                <w:color w:val="auto"/>
                <w:kern w:val="0"/>
                <w:sz w:val="13"/>
                <w:szCs w:val="13"/>
                <w:u w:val="none"/>
                <w:lang w:val="en-US" w:eastAsia="zh-CN" w:bidi="ar"/>
              </w:rPr>
            </w:pPr>
            <w:r>
              <w:rPr>
                <w:rFonts w:hint="eastAsia" w:ascii="宋体" w:hAnsi="宋体" w:cs="宋体"/>
                <w:b/>
                <w:bCs/>
                <w:i w:val="0"/>
                <w:color w:val="auto"/>
                <w:kern w:val="0"/>
                <w:sz w:val="13"/>
                <w:szCs w:val="13"/>
                <w:u w:val="none"/>
                <w:lang w:val="en-US" w:eastAsia="zh-CN" w:bidi="ar"/>
              </w:rPr>
              <w:t>合计</w:t>
            </w:r>
          </w:p>
        </w:tc>
        <w:tc>
          <w:tcPr>
            <w:tcW w:w="3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ind w:firstLine="0" w:firstLineChars="0"/>
              <w:jc w:val="center"/>
              <w:textAlignment w:val="center"/>
              <w:rPr>
                <w:rFonts w:hint="eastAsia" w:ascii="宋体" w:hAnsi="宋体" w:eastAsia="宋体" w:cs="宋体"/>
                <w:b/>
                <w:bCs/>
                <w:i w:val="0"/>
                <w:color w:val="auto"/>
                <w:kern w:val="0"/>
                <w:sz w:val="13"/>
                <w:szCs w:val="13"/>
                <w:u w:val="none"/>
                <w:lang w:val="en-US" w:eastAsia="zh-CN" w:bidi="ar"/>
              </w:rPr>
            </w:pPr>
          </w:p>
        </w:tc>
        <w:tc>
          <w:tcPr>
            <w:tcW w:w="8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eastAsia" w:ascii="宋体" w:hAnsi="宋体" w:eastAsia="宋体" w:cs="宋体"/>
                <w:b/>
                <w:bCs/>
                <w:i w:val="0"/>
                <w:color w:val="auto"/>
                <w:kern w:val="0"/>
                <w:sz w:val="13"/>
                <w:szCs w:val="13"/>
                <w:u w:val="none"/>
                <w:lang w:val="en-US" w:eastAsia="zh-CN" w:bidi="ar"/>
              </w:rPr>
            </w:pPr>
          </w:p>
        </w:tc>
        <w:tc>
          <w:tcPr>
            <w:tcW w:w="30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1"/>
                <w:szCs w:val="11"/>
                <w:u w:val="none"/>
                <w:lang w:val="en-US" w:eastAsia="zh-CN" w:bidi="ar"/>
              </w:rPr>
            </w:pPr>
          </w:p>
        </w:tc>
        <w:tc>
          <w:tcPr>
            <w:tcW w:w="2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39.4</w:t>
            </w:r>
          </w:p>
        </w:tc>
        <w:tc>
          <w:tcPr>
            <w:tcW w:w="34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i w:val="0"/>
                <w:color w:val="auto"/>
                <w:kern w:val="0"/>
                <w:sz w:val="13"/>
                <w:szCs w:val="13"/>
                <w:u w:val="none"/>
                <w:lang w:val="en-US" w:eastAsia="zh-CN" w:bidi="ar"/>
              </w:rPr>
            </w:pPr>
            <w:r>
              <w:rPr>
                <w:rFonts w:hint="eastAsia" w:ascii="Times New Roman" w:hAnsi="Times New Roman" w:eastAsia="宋体" w:cs="Times New Roman"/>
                <w:b/>
                <w:bCs/>
                <w:i w:val="0"/>
                <w:color w:val="auto"/>
                <w:kern w:val="0"/>
                <w:sz w:val="13"/>
                <w:szCs w:val="13"/>
                <w:u w:val="none"/>
                <w:lang w:val="en-US" w:eastAsia="zh-CN" w:bidi="ar"/>
              </w:rPr>
              <w:t>4.0</w:t>
            </w:r>
          </w:p>
        </w:tc>
        <w:tc>
          <w:tcPr>
            <w:tcW w:w="29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29.7</w:t>
            </w:r>
          </w:p>
        </w:tc>
        <w:tc>
          <w:tcPr>
            <w:tcW w:w="1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2.39</w:t>
            </w:r>
          </w:p>
        </w:tc>
        <w:tc>
          <w:tcPr>
            <w:tcW w:w="19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5.16</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7.27</w:t>
            </w:r>
          </w:p>
        </w:tc>
        <w:tc>
          <w:tcPr>
            <w:tcW w:w="19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7.46</w:t>
            </w:r>
          </w:p>
        </w:tc>
        <w:tc>
          <w:tcPr>
            <w:tcW w:w="20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7.42</w:t>
            </w:r>
          </w:p>
        </w:tc>
        <w:tc>
          <w:tcPr>
            <w:tcW w:w="2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firstLine="0" w:firstLineChars="0"/>
              <w:jc w:val="center"/>
              <w:textAlignment w:val="center"/>
              <w:rPr>
                <w:rFonts w:hint="default" w:cs="Times New Roman"/>
                <w:b/>
                <w:bCs/>
                <w:i w:val="0"/>
                <w:color w:val="auto"/>
                <w:kern w:val="0"/>
                <w:sz w:val="13"/>
                <w:szCs w:val="13"/>
                <w:u w:val="none"/>
                <w:lang w:val="en-US" w:eastAsia="zh-CN" w:bidi="ar"/>
              </w:rPr>
            </w:pPr>
            <w:r>
              <w:rPr>
                <w:rFonts w:hint="eastAsia" w:cs="Times New Roman"/>
                <w:b/>
                <w:bCs/>
                <w:i w:val="0"/>
                <w:color w:val="auto"/>
                <w:kern w:val="0"/>
                <w:sz w:val="13"/>
                <w:szCs w:val="13"/>
                <w:u w:val="none"/>
                <w:lang w:val="en-US" w:eastAsia="zh-CN" w:bidi="ar"/>
              </w:rPr>
              <w:t>5.7</w:t>
            </w:r>
          </w:p>
        </w:tc>
        <w:tc>
          <w:tcPr>
            <w:tcW w:w="25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ind w:firstLine="0" w:firstLineChars="0"/>
              <w:jc w:val="center"/>
              <w:textAlignment w:val="center"/>
              <w:rPr>
                <w:rFonts w:hint="eastAsia" w:ascii="宋体" w:hAnsi="宋体" w:eastAsia="宋体" w:cs="宋体"/>
                <w:b/>
                <w:bCs/>
                <w:i w:val="0"/>
                <w:color w:val="auto"/>
                <w:kern w:val="0"/>
                <w:sz w:val="11"/>
                <w:szCs w:val="11"/>
                <w:u w:val="none"/>
                <w:lang w:val="en-US" w:eastAsia="zh-CN" w:bidi="ar"/>
              </w:rPr>
            </w:pPr>
          </w:p>
        </w:tc>
      </w:tr>
    </w:tbl>
    <w:p>
      <w:pPr>
        <w:ind w:left="0" w:leftChars="0" w:firstLine="0" w:firstLineChars="0"/>
        <w:rPr>
          <w:color w:val="000000" w:themeColor="text1"/>
          <w14:textFill>
            <w14:solidFill>
              <w14:schemeClr w14:val="tx1"/>
            </w14:solidFill>
          </w14:textFill>
        </w:rPr>
      </w:pPr>
    </w:p>
    <w:sectPr>
      <w:pgSz w:w="16783" w:h="11850" w:orient="landscape"/>
      <w:pgMar w:top="1588" w:right="1474" w:bottom="1588" w:left="1474" w:header="851" w:footer="851" w:gutter="0"/>
      <w:pgBorders>
        <w:top w:val="none" w:sz="0" w:space="0"/>
        <w:left w:val="none" w:sz="0" w:space="0"/>
        <w:bottom w:val="none" w:sz="0" w:space="0"/>
        <w:right w:val="none" w:sz="0" w:space="0"/>
      </w:pgBorders>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ind w:firstLine="0" w:firstLineChars="0"/>
      <w:jc w:val="right"/>
      <w:rPr>
        <w:rFonts w:hint="default" w:eastAsia="仿宋"/>
        <w:lang w:val="en-US" w:eastAsia="zh-CN"/>
      </w:rPr>
    </w:pPr>
    <w:r>
      <w:rPr>
        <w:rFonts w:hint="eastAsia" w:ascii="仿宋" w:hAnsi="仿宋" w:eastAsia="仿宋" w:cs="仿宋"/>
      </w:rPr>
      <w:fldChar w:fldCharType="begin"/>
    </w:r>
    <w:r>
      <w:rPr>
        <w:rFonts w:hint="eastAsia" w:ascii="仿宋" w:hAnsi="仿宋" w:eastAsia="仿宋" w:cs="仿宋"/>
      </w:rPr>
      <w:instrText xml:space="preserve"> PAGE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20838"/>
      </w:tabs>
      <w:rPr>
        <w:rFonts w:hint="default" w:ascii="仿宋" w:hAnsi="仿宋" w:eastAsia="仿宋" w:cs="仿宋"/>
        <w:lang w:val="en-US" w:eastAsia="zh-CN"/>
      </w:rPr>
    </w:pPr>
    <w:r>
      <w:rPr>
        <w:rFonts w:hint="eastAsia" w:ascii="仿宋" w:hAnsi="仿宋" w:eastAsia="仿宋" w:cs="仿宋"/>
        <w:lang w:eastAsia="zh-CN"/>
      </w:rPr>
      <w:t>云和县</w:t>
    </w:r>
    <w:r>
      <w:rPr>
        <w:rFonts w:hint="eastAsia" w:ascii="仿宋" w:hAnsi="仿宋" w:eastAsia="仿宋" w:cs="仿宋"/>
      </w:rPr>
      <w:t>“十四五”</w:t>
    </w:r>
    <w:r>
      <w:rPr>
        <w:rFonts w:hint="eastAsia" w:ascii="仿宋" w:hAnsi="仿宋" w:eastAsia="仿宋" w:cs="仿宋"/>
        <w:lang w:val="en-US" w:eastAsia="zh-CN"/>
      </w:rPr>
      <w:t>水利发展规划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FE7359"/>
    <w:multiLevelType w:val="multilevel"/>
    <w:tmpl w:val="27FE7359"/>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C43"/>
    <w:rsid w:val="000211B6"/>
    <w:rsid w:val="00021773"/>
    <w:rsid w:val="000236B6"/>
    <w:rsid w:val="00027649"/>
    <w:rsid w:val="000308B4"/>
    <w:rsid w:val="00032700"/>
    <w:rsid w:val="00045400"/>
    <w:rsid w:val="00047174"/>
    <w:rsid w:val="0005020B"/>
    <w:rsid w:val="0005266C"/>
    <w:rsid w:val="00052768"/>
    <w:rsid w:val="000630D9"/>
    <w:rsid w:val="0006731F"/>
    <w:rsid w:val="000737A2"/>
    <w:rsid w:val="00073D52"/>
    <w:rsid w:val="00076BE2"/>
    <w:rsid w:val="00081264"/>
    <w:rsid w:val="00090815"/>
    <w:rsid w:val="000A0884"/>
    <w:rsid w:val="000B6E62"/>
    <w:rsid w:val="000D28AD"/>
    <w:rsid w:val="000E6800"/>
    <w:rsid w:val="001021C1"/>
    <w:rsid w:val="00111BF9"/>
    <w:rsid w:val="0011379B"/>
    <w:rsid w:val="00120958"/>
    <w:rsid w:val="001244FE"/>
    <w:rsid w:val="00143125"/>
    <w:rsid w:val="00144452"/>
    <w:rsid w:val="00153E94"/>
    <w:rsid w:val="001556E9"/>
    <w:rsid w:val="001567E9"/>
    <w:rsid w:val="00161A3E"/>
    <w:rsid w:val="00172A27"/>
    <w:rsid w:val="0017437B"/>
    <w:rsid w:val="00176188"/>
    <w:rsid w:val="00176300"/>
    <w:rsid w:val="00176493"/>
    <w:rsid w:val="0018096D"/>
    <w:rsid w:val="001870DE"/>
    <w:rsid w:val="001916F5"/>
    <w:rsid w:val="0019243E"/>
    <w:rsid w:val="001A14AC"/>
    <w:rsid w:val="001A790C"/>
    <w:rsid w:val="001B216B"/>
    <w:rsid w:val="001B320B"/>
    <w:rsid w:val="001B5EA3"/>
    <w:rsid w:val="001B642F"/>
    <w:rsid w:val="001B69C3"/>
    <w:rsid w:val="001C1B96"/>
    <w:rsid w:val="001C6B4C"/>
    <w:rsid w:val="001D0F1F"/>
    <w:rsid w:val="001D27C5"/>
    <w:rsid w:val="001E0A1B"/>
    <w:rsid w:val="001E21AD"/>
    <w:rsid w:val="001F679E"/>
    <w:rsid w:val="00223DB0"/>
    <w:rsid w:val="00225F7D"/>
    <w:rsid w:val="002304DF"/>
    <w:rsid w:val="00234309"/>
    <w:rsid w:val="00234354"/>
    <w:rsid w:val="0024192D"/>
    <w:rsid w:val="00242381"/>
    <w:rsid w:val="0024653C"/>
    <w:rsid w:val="002479BB"/>
    <w:rsid w:val="00265A76"/>
    <w:rsid w:val="00265C26"/>
    <w:rsid w:val="00265DB8"/>
    <w:rsid w:val="002674E0"/>
    <w:rsid w:val="0027244A"/>
    <w:rsid w:val="0027688E"/>
    <w:rsid w:val="002867E1"/>
    <w:rsid w:val="0029060D"/>
    <w:rsid w:val="00295805"/>
    <w:rsid w:val="002A4BA5"/>
    <w:rsid w:val="002A4F3E"/>
    <w:rsid w:val="002A7D51"/>
    <w:rsid w:val="002B1BA8"/>
    <w:rsid w:val="002B21C9"/>
    <w:rsid w:val="002B6BF9"/>
    <w:rsid w:val="002D0BCD"/>
    <w:rsid w:val="002D774A"/>
    <w:rsid w:val="002E0894"/>
    <w:rsid w:val="002E71BC"/>
    <w:rsid w:val="002F0495"/>
    <w:rsid w:val="00307297"/>
    <w:rsid w:val="00310CD2"/>
    <w:rsid w:val="00310EF7"/>
    <w:rsid w:val="00313F62"/>
    <w:rsid w:val="00322C26"/>
    <w:rsid w:val="00333FF2"/>
    <w:rsid w:val="00340ED9"/>
    <w:rsid w:val="00343C9E"/>
    <w:rsid w:val="00353995"/>
    <w:rsid w:val="003548CC"/>
    <w:rsid w:val="00356D78"/>
    <w:rsid w:val="003603A8"/>
    <w:rsid w:val="00380BCB"/>
    <w:rsid w:val="00383882"/>
    <w:rsid w:val="00391635"/>
    <w:rsid w:val="00396424"/>
    <w:rsid w:val="00397AA7"/>
    <w:rsid w:val="00397ACE"/>
    <w:rsid w:val="003B4EB3"/>
    <w:rsid w:val="003D1046"/>
    <w:rsid w:val="003D15B0"/>
    <w:rsid w:val="003D76C6"/>
    <w:rsid w:val="003E0C01"/>
    <w:rsid w:val="003E3DE6"/>
    <w:rsid w:val="003E4F38"/>
    <w:rsid w:val="003E6E61"/>
    <w:rsid w:val="003F2060"/>
    <w:rsid w:val="00403FFA"/>
    <w:rsid w:val="00410C19"/>
    <w:rsid w:val="00411618"/>
    <w:rsid w:val="004206CE"/>
    <w:rsid w:val="0042139E"/>
    <w:rsid w:val="0042426A"/>
    <w:rsid w:val="004315D8"/>
    <w:rsid w:val="00464C03"/>
    <w:rsid w:val="00470DA7"/>
    <w:rsid w:val="00473008"/>
    <w:rsid w:val="00476D6D"/>
    <w:rsid w:val="00476FED"/>
    <w:rsid w:val="00481955"/>
    <w:rsid w:val="00481AF0"/>
    <w:rsid w:val="00496473"/>
    <w:rsid w:val="004A200A"/>
    <w:rsid w:val="004A2945"/>
    <w:rsid w:val="004A48DD"/>
    <w:rsid w:val="004A7C0D"/>
    <w:rsid w:val="004B10A9"/>
    <w:rsid w:val="004B12E9"/>
    <w:rsid w:val="004B41BE"/>
    <w:rsid w:val="004B4AB2"/>
    <w:rsid w:val="004C4102"/>
    <w:rsid w:val="004C7170"/>
    <w:rsid w:val="004D3065"/>
    <w:rsid w:val="004D39B2"/>
    <w:rsid w:val="004E2000"/>
    <w:rsid w:val="004E4D15"/>
    <w:rsid w:val="004E6750"/>
    <w:rsid w:val="004F3A0C"/>
    <w:rsid w:val="004F73AA"/>
    <w:rsid w:val="00505A5A"/>
    <w:rsid w:val="00505E7C"/>
    <w:rsid w:val="00512B5F"/>
    <w:rsid w:val="00513B9B"/>
    <w:rsid w:val="00513DE4"/>
    <w:rsid w:val="005208BC"/>
    <w:rsid w:val="005249FE"/>
    <w:rsid w:val="00525C7B"/>
    <w:rsid w:val="00533527"/>
    <w:rsid w:val="00534127"/>
    <w:rsid w:val="005365C0"/>
    <w:rsid w:val="0054175E"/>
    <w:rsid w:val="005563E2"/>
    <w:rsid w:val="00572F83"/>
    <w:rsid w:val="00577C37"/>
    <w:rsid w:val="00584477"/>
    <w:rsid w:val="00586103"/>
    <w:rsid w:val="00586623"/>
    <w:rsid w:val="00590671"/>
    <w:rsid w:val="00590FE6"/>
    <w:rsid w:val="005D1A18"/>
    <w:rsid w:val="005D3912"/>
    <w:rsid w:val="005D5F09"/>
    <w:rsid w:val="005F2B7C"/>
    <w:rsid w:val="00616B6F"/>
    <w:rsid w:val="00617F23"/>
    <w:rsid w:val="006234FD"/>
    <w:rsid w:val="00624C96"/>
    <w:rsid w:val="006339FF"/>
    <w:rsid w:val="00646DFF"/>
    <w:rsid w:val="00647442"/>
    <w:rsid w:val="006640D3"/>
    <w:rsid w:val="0067113A"/>
    <w:rsid w:val="0067490F"/>
    <w:rsid w:val="00677F0B"/>
    <w:rsid w:val="0068060A"/>
    <w:rsid w:val="00681E42"/>
    <w:rsid w:val="00685087"/>
    <w:rsid w:val="00694758"/>
    <w:rsid w:val="00695650"/>
    <w:rsid w:val="006A2EE3"/>
    <w:rsid w:val="006A4C15"/>
    <w:rsid w:val="006A6D65"/>
    <w:rsid w:val="006B1B2D"/>
    <w:rsid w:val="006B5866"/>
    <w:rsid w:val="006D7DDE"/>
    <w:rsid w:val="006E0AFE"/>
    <w:rsid w:val="006E3E29"/>
    <w:rsid w:val="006F5E33"/>
    <w:rsid w:val="00710009"/>
    <w:rsid w:val="007112CA"/>
    <w:rsid w:val="0071511C"/>
    <w:rsid w:val="00715B94"/>
    <w:rsid w:val="00722847"/>
    <w:rsid w:val="0072544A"/>
    <w:rsid w:val="007263C0"/>
    <w:rsid w:val="007350A5"/>
    <w:rsid w:val="007453F5"/>
    <w:rsid w:val="00746736"/>
    <w:rsid w:val="007477FE"/>
    <w:rsid w:val="00755ABF"/>
    <w:rsid w:val="007747A8"/>
    <w:rsid w:val="00783E32"/>
    <w:rsid w:val="00787013"/>
    <w:rsid w:val="007870AE"/>
    <w:rsid w:val="00790326"/>
    <w:rsid w:val="007912A3"/>
    <w:rsid w:val="00792411"/>
    <w:rsid w:val="007961F1"/>
    <w:rsid w:val="0079625D"/>
    <w:rsid w:val="007A1A50"/>
    <w:rsid w:val="007A47FD"/>
    <w:rsid w:val="007A7045"/>
    <w:rsid w:val="007C42DD"/>
    <w:rsid w:val="007C60D1"/>
    <w:rsid w:val="007C7A87"/>
    <w:rsid w:val="007D0469"/>
    <w:rsid w:val="007D1667"/>
    <w:rsid w:val="007D1D23"/>
    <w:rsid w:val="007D20F0"/>
    <w:rsid w:val="007D2661"/>
    <w:rsid w:val="007E2F2A"/>
    <w:rsid w:val="007E73D3"/>
    <w:rsid w:val="007F2ECC"/>
    <w:rsid w:val="007F638F"/>
    <w:rsid w:val="007F6662"/>
    <w:rsid w:val="008027FE"/>
    <w:rsid w:val="008047C3"/>
    <w:rsid w:val="00824C35"/>
    <w:rsid w:val="008306D5"/>
    <w:rsid w:val="0084798E"/>
    <w:rsid w:val="00861CCA"/>
    <w:rsid w:val="00863F53"/>
    <w:rsid w:val="00867EBD"/>
    <w:rsid w:val="00890AD8"/>
    <w:rsid w:val="00893EBE"/>
    <w:rsid w:val="008A2F38"/>
    <w:rsid w:val="008B4A2F"/>
    <w:rsid w:val="008B7CF5"/>
    <w:rsid w:val="008D44AB"/>
    <w:rsid w:val="00902F09"/>
    <w:rsid w:val="0090412A"/>
    <w:rsid w:val="00910FDF"/>
    <w:rsid w:val="0091219F"/>
    <w:rsid w:val="0091248A"/>
    <w:rsid w:val="00915C81"/>
    <w:rsid w:val="00922392"/>
    <w:rsid w:val="00922F30"/>
    <w:rsid w:val="009233D3"/>
    <w:rsid w:val="0094188F"/>
    <w:rsid w:val="0094240C"/>
    <w:rsid w:val="00945F37"/>
    <w:rsid w:val="0094601E"/>
    <w:rsid w:val="009512D4"/>
    <w:rsid w:val="009603E0"/>
    <w:rsid w:val="009624CA"/>
    <w:rsid w:val="00967C8C"/>
    <w:rsid w:val="00971913"/>
    <w:rsid w:val="009948DE"/>
    <w:rsid w:val="00996966"/>
    <w:rsid w:val="009C58D8"/>
    <w:rsid w:val="009C68DD"/>
    <w:rsid w:val="009D06EE"/>
    <w:rsid w:val="009E4488"/>
    <w:rsid w:val="009E51CD"/>
    <w:rsid w:val="009F505B"/>
    <w:rsid w:val="00A05E05"/>
    <w:rsid w:val="00A068A0"/>
    <w:rsid w:val="00A145B9"/>
    <w:rsid w:val="00A21F6F"/>
    <w:rsid w:val="00A223B2"/>
    <w:rsid w:val="00A247E8"/>
    <w:rsid w:val="00A25BC6"/>
    <w:rsid w:val="00A274FB"/>
    <w:rsid w:val="00A50C92"/>
    <w:rsid w:val="00A5530E"/>
    <w:rsid w:val="00A55454"/>
    <w:rsid w:val="00A611EB"/>
    <w:rsid w:val="00A70AAD"/>
    <w:rsid w:val="00A82D31"/>
    <w:rsid w:val="00AA2BF9"/>
    <w:rsid w:val="00AA4B53"/>
    <w:rsid w:val="00AA55C3"/>
    <w:rsid w:val="00AB5399"/>
    <w:rsid w:val="00AC6675"/>
    <w:rsid w:val="00AD0337"/>
    <w:rsid w:val="00AD0394"/>
    <w:rsid w:val="00AD3AFE"/>
    <w:rsid w:val="00AD68F8"/>
    <w:rsid w:val="00AE0227"/>
    <w:rsid w:val="00AE736C"/>
    <w:rsid w:val="00AE7541"/>
    <w:rsid w:val="00AF5A45"/>
    <w:rsid w:val="00AF7268"/>
    <w:rsid w:val="00B03AD9"/>
    <w:rsid w:val="00B05DF1"/>
    <w:rsid w:val="00B32FD0"/>
    <w:rsid w:val="00B356E6"/>
    <w:rsid w:val="00B37404"/>
    <w:rsid w:val="00B4002A"/>
    <w:rsid w:val="00B44F22"/>
    <w:rsid w:val="00B44FA6"/>
    <w:rsid w:val="00B529A8"/>
    <w:rsid w:val="00B613BF"/>
    <w:rsid w:val="00B63909"/>
    <w:rsid w:val="00B6444C"/>
    <w:rsid w:val="00B66A55"/>
    <w:rsid w:val="00B74209"/>
    <w:rsid w:val="00B76611"/>
    <w:rsid w:val="00B866CB"/>
    <w:rsid w:val="00B97AFD"/>
    <w:rsid w:val="00BA0C91"/>
    <w:rsid w:val="00BD0EA2"/>
    <w:rsid w:val="00BD34A1"/>
    <w:rsid w:val="00BD4331"/>
    <w:rsid w:val="00BD4A78"/>
    <w:rsid w:val="00BD615A"/>
    <w:rsid w:val="00BE2558"/>
    <w:rsid w:val="00C03FC8"/>
    <w:rsid w:val="00C22F67"/>
    <w:rsid w:val="00C26FCC"/>
    <w:rsid w:val="00C32CE5"/>
    <w:rsid w:val="00C37C99"/>
    <w:rsid w:val="00C67AC2"/>
    <w:rsid w:val="00C70C3B"/>
    <w:rsid w:val="00C71B53"/>
    <w:rsid w:val="00C85598"/>
    <w:rsid w:val="00C931D5"/>
    <w:rsid w:val="00C93BF5"/>
    <w:rsid w:val="00C970ED"/>
    <w:rsid w:val="00CA0231"/>
    <w:rsid w:val="00CA387B"/>
    <w:rsid w:val="00CA466B"/>
    <w:rsid w:val="00CA77CF"/>
    <w:rsid w:val="00CA79AA"/>
    <w:rsid w:val="00CB5C45"/>
    <w:rsid w:val="00CD048C"/>
    <w:rsid w:val="00CE68C4"/>
    <w:rsid w:val="00CF0969"/>
    <w:rsid w:val="00D056C3"/>
    <w:rsid w:val="00D14F5C"/>
    <w:rsid w:val="00D23DDE"/>
    <w:rsid w:val="00D311ED"/>
    <w:rsid w:val="00D31C02"/>
    <w:rsid w:val="00D36571"/>
    <w:rsid w:val="00D36967"/>
    <w:rsid w:val="00D37CF1"/>
    <w:rsid w:val="00D42378"/>
    <w:rsid w:val="00D4513C"/>
    <w:rsid w:val="00D46362"/>
    <w:rsid w:val="00D47BF5"/>
    <w:rsid w:val="00D47ECA"/>
    <w:rsid w:val="00D575CA"/>
    <w:rsid w:val="00D60FAB"/>
    <w:rsid w:val="00D627CD"/>
    <w:rsid w:val="00D652A8"/>
    <w:rsid w:val="00D71031"/>
    <w:rsid w:val="00D72B0B"/>
    <w:rsid w:val="00D81C0A"/>
    <w:rsid w:val="00D868EF"/>
    <w:rsid w:val="00D90FEA"/>
    <w:rsid w:val="00D96A2A"/>
    <w:rsid w:val="00DA4936"/>
    <w:rsid w:val="00DA5CE2"/>
    <w:rsid w:val="00DA6B40"/>
    <w:rsid w:val="00DB76DE"/>
    <w:rsid w:val="00DC73DA"/>
    <w:rsid w:val="00DE08B4"/>
    <w:rsid w:val="00DE18A5"/>
    <w:rsid w:val="00DE1C5F"/>
    <w:rsid w:val="00DE2114"/>
    <w:rsid w:val="00DE5300"/>
    <w:rsid w:val="00DF1005"/>
    <w:rsid w:val="00E02ABC"/>
    <w:rsid w:val="00E034D3"/>
    <w:rsid w:val="00E22E14"/>
    <w:rsid w:val="00E233F8"/>
    <w:rsid w:val="00E24093"/>
    <w:rsid w:val="00E25205"/>
    <w:rsid w:val="00E356EA"/>
    <w:rsid w:val="00E41215"/>
    <w:rsid w:val="00E516F5"/>
    <w:rsid w:val="00E66DEA"/>
    <w:rsid w:val="00E757CB"/>
    <w:rsid w:val="00E814CD"/>
    <w:rsid w:val="00E83630"/>
    <w:rsid w:val="00E907EB"/>
    <w:rsid w:val="00E908A7"/>
    <w:rsid w:val="00E9122A"/>
    <w:rsid w:val="00E9171E"/>
    <w:rsid w:val="00E92C70"/>
    <w:rsid w:val="00EA2617"/>
    <w:rsid w:val="00EA7BB2"/>
    <w:rsid w:val="00EB5FD5"/>
    <w:rsid w:val="00EC4066"/>
    <w:rsid w:val="00EC42A4"/>
    <w:rsid w:val="00EC7628"/>
    <w:rsid w:val="00ED59CC"/>
    <w:rsid w:val="00EE1E1E"/>
    <w:rsid w:val="00EE2048"/>
    <w:rsid w:val="00EE225E"/>
    <w:rsid w:val="00EE5994"/>
    <w:rsid w:val="00EF31C7"/>
    <w:rsid w:val="00EF558B"/>
    <w:rsid w:val="00F01A36"/>
    <w:rsid w:val="00F0590B"/>
    <w:rsid w:val="00F11BF7"/>
    <w:rsid w:val="00F20C64"/>
    <w:rsid w:val="00F2393C"/>
    <w:rsid w:val="00F44080"/>
    <w:rsid w:val="00F4531B"/>
    <w:rsid w:val="00F50524"/>
    <w:rsid w:val="00F51056"/>
    <w:rsid w:val="00F5428A"/>
    <w:rsid w:val="00F65C5B"/>
    <w:rsid w:val="00F66AF1"/>
    <w:rsid w:val="00F719D1"/>
    <w:rsid w:val="00F71A85"/>
    <w:rsid w:val="00F73363"/>
    <w:rsid w:val="00F75FF0"/>
    <w:rsid w:val="00F777E1"/>
    <w:rsid w:val="00F85382"/>
    <w:rsid w:val="00F9699D"/>
    <w:rsid w:val="00FA3E70"/>
    <w:rsid w:val="00FC3DCD"/>
    <w:rsid w:val="00FC47CB"/>
    <w:rsid w:val="00FE1B60"/>
    <w:rsid w:val="00FE1C54"/>
    <w:rsid w:val="00FE1D87"/>
    <w:rsid w:val="00FE3C46"/>
    <w:rsid w:val="00FF40FB"/>
    <w:rsid w:val="01265996"/>
    <w:rsid w:val="01305737"/>
    <w:rsid w:val="014A7F36"/>
    <w:rsid w:val="01634027"/>
    <w:rsid w:val="019B1B0B"/>
    <w:rsid w:val="01CA6DA0"/>
    <w:rsid w:val="01CF4A41"/>
    <w:rsid w:val="01EE75A4"/>
    <w:rsid w:val="01FF4B23"/>
    <w:rsid w:val="020F73C0"/>
    <w:rsid w:val="021358F3"/>
    <w:rsid w:val="02265F62"/>
    <w:rsid w:val="023C2CDD"/>
    <w:rsid w:val="02843FB8"/>
    <w:rsid w:val="029B4494"/>
    <w:rsid w:val="02A00AF1"/>
    <w:rsid w:val="02C90F53"/>
    <w:rsid w:val="032255BA"/>
    <w:rsid w:val="033A212A"/>
    <w:rsid w:val="0348520D"/>
    <w:rsid w:val="038E3211"/>
    <w:rsid w:val="03B231E7"/>
    <w:rsid w:val="03C318C8"/>
    <w:rsid w:val="0419033C"/>
    <w:rsid w:val="042146AA"/>
    <w:rsid w:val="042A0671"/>
    <w:rsid w:val="04875425"/>
    <w:rsid w:val="04A52768"/>
    <w:rsid w:val="04C27FE0"/>
    <w:rsid w:val="04D34143"/>
    <w:rsid w:val="04DB3B1C"/>
    <w:rsid w:val="04E30988"/>
    <w:rsid w:val="04E341F2"/>
    <w:rsid w:val="04E9527D"/>
    <w:rsid w:val="05363261"/>
    <w:rsid w:val="054A02EE"/>
    <w:rsid w:val="059C5B73"/>
    <w:rsid w:val="05B6200C"/>
    <w:rsid w:val="05E657FC"/>
    <w:rsid w:val="05E81D2E"/>
    <w:rsid w:val="06376618"/>
    <w:rsid w:val="06432ADE"/>
    <w:rsid w:val="065067FB"/>
    <w:rsid w:val="066C2368"/>
    <w:rsid w:val="068E218A"/>
    <w:rsid w:val="06966509"/>
    <w:rsid w:val="06A7343C"/>
    <w:rsid w:val="06B24ACC"/>
    <w:rsid w:val="06B313B7"/>
    <w:rsid w:val="06B37916"/>
    <w:rsid w:val="06B92095"/>
    <w:rsid w:val="06E16C20"/>
    <w:rsid w:val="0705645D"/>
    <w:rsid w:val="071F2215"/>
    <w:rsid w:val="07527634"/>
    <w:rsid w:val="075C04CC"/>
    <w:rsid w:val="07940F72"/>
    <w:rsid w:val="07AE6364"/>
    <w:rsid w:val="07FB4D4F"/>
    <w:rsid w:val="08127D96"/>
    <w:rsid w:val="08254DD1"/>
    <w:rsid w:val="08510FD1"/>
    <w:rsid w:val="08670229"/>
    <w:rsid w:val="087A0C9D"/>
    <w:rsid w:val="087C1B35"/>
    <w:rsid w:val="08985993"/>
    <w:rsid w:val="08C05898"/>
    <w:rsid w:val="08C211CE"/>
    <w:rsid w:val="08F63E7A"/>
    <w:rsid w:val="09002F6A"/>
    <w:rsid w:val="092901A4"/>
    <w:rsid w:val="09472CE5"/>
    <w:rsid w:val="09476690"/>
    <w:rsid w:val="09501175"/>
    <w:rsid w:val="09521E33"/>
    <w:rsid w:val="0954257F"/>
    <w:rsid w:val="09603270"/>
    <w:rsid w:val="09A83448"/>
    <w:rsid w:val="09AA0D3C"/>
    <w:rsid w:val="09CB5C8A"/>
    <w:rsid w:val="09DC3BB9"/>
    <w:rsid w:val="09F05465"/>
    <w:rsid w:val="0A151936"/>
    <w:rsid w:val="0A2F42B3"/>
    <w:rsid w:val="0A5E6928"/>
    <w:rsid w:val="0A6C6ECF"/>
    <w:rsid w:val="0A70123F"/>
    <w:rsid w:val="0A7C5CC4"/>
    <w:rsid w:val="0A7E4C0C"/>
    <w:rsid w:val="0AD26780"/>
    <w:rsid w:val="0AD35F6D"/>
    <w:rsid w:val="0AF871B2"/>
    <w:rsid w:val="0B0A1F6A"/>
    <w:rsid w:val="0B0E3511"/>
    <w:rsid w:val="0B3F5918"/>
    <w:rsid w:val="0B5C7CB3"/>
    <w:rsid w:val="0B963B25"/>
    <w:rsid w:val="0BAC4F94"/>
    <w:rsid w:val="0BB94D45"/>
    <w:rsid w:val="0BF81033"/>
    <w:rsid w:val="0C2E1DF9"/>
    <w:rsid w:val="0C2E565D"/>
    <w:rsid w:val="0C5A40E5"/>
    <w:rsid w:val="0C842D9E"/>
    <w:rsid w:val="0C861E11"/>
    <w:rsid w:val="0C9859BF"/>
    <w:rsid w:val="0C9D61A2"/>
    <w:rsid w:val="0CC05B71"/>
    <w:rsid w:val="0CE27E7B"/>
    <w:rsid w:val="0CF5193F"/>
    <w:rsid w:val="0CF727E0"/>
    <w:rsid w:val="0D0C5A10"/>
    <w:rsid w:val="0D1072FD"/>
    <w:rsid w:val="0D296AEE"/>
    <w:rsid w:val="0D42334A"/>
    <w:rsid w:val="0D4E4E0E"/>
    <w:rsid w:val="0DC75394"/>
    <w:rsid w:val="0DC9292A"/>
    <w:rsid w:val="0E0D5D22"/>
    <w:rsid w:val="0E1232A8"/>
    <w:rsid w:val="0E141133"/>
    <w:rsid w:val="0E2706B4"/>
    <w:rsid w:val="0E273AD7"/>
    <w:rsid w:val="0E442B90"/>
    <w:rsid w:val="0E4C549F"/>
    <w:rsid w:val="0E572178"/>
    <w:rsid w:val="0EE474DA"/>
    <w:rsid w:val="0F291199"/>
    <w:rsid w:val="0F2E11DF"/>
    <w:rsid w:val="0F320A32"/>
    <w:rsid w:val="0F501A9C"/>
    <w:rsid w:val="0F5D7CDA"/>
    <w:rsid w:val="0FB13106"/>
    <w:rsid w:val="0FB3084D"/>
    <w:rsid w:val="0FBD6A60"/>
    <w:rsid w:val="0FCF20B3"/>
    <w:rsid w:val="0FF82A72"/>
    <w:rsid w:val="10036421"/>
    <w:rsid w:val="10112A44"/>
    <w:rsid w:val="101E3F02"/>
    <w:rsid w:val="103776BB"/>
    <w:rsid w:val="10551CE6"/>
    <w:rsid w:val="10744BA8"/>
    <w:rsid w:val="107834A8"/>
    <w:rsid w:val="10955319"/>
    <w:rsid w:val="10A32443"/>
    <w:rsid w:val="10A94034"/>
    <w:rsid w:val="10B61C48"/>
    <w:rsid w:val="10B725E7"/>
    <w:rsid w:val="10C4761B"/>
    <w:rsid w:val="10CC7507"/>
    <w:rsid w:val="10E37839"/>
    <w:rsid w:val="11055E0B"/>
    <w:rsid w:val="11064716"/>
    <w:rsid w:val="11111C05"/>
    <w:rsid w:val="11144506"/>
    <w:rsid w:val="1157028A"/>
    <w:rsid w:val="11750774"/>
    <w:rsid w:val="11832955"/>
    <w:rsid w:val="11A9294B"/>
    <w:rsid w:val="11DB0FB0"/>
    <w:rsid w:val="11E208C8"/>
    <w:rsid w:val="11E66181"/>
    <w:rsid w:val="12035A19"/>
    <w:rsid w:val="12201371"/>
    <w:rsid w:val="12272C7E"/>
    <w:rsid w:val="122C7881"/>
    <w:rsid w:val="123B54BA"/>
    <w:rsid w:val="125366DD"/>
    <w:rsid w:val="12537286"/>
    <w:rsid w:val="127D7E3A"/>
    <w:rsid w:val="12CA73FA"/>
    <w:rsid w:val="12CD5412"/>
    <w:rsid w:val="12F946DC"/>
    <w:rsid w:val="132C6733"/>
    <w:rsid w:val="13553CCB"/>
    <w:rsid w:val="135610D1"/>
    <w:rsid w:val="136F5FD3"/>
    <w:rsid w:val="13764CD7"/>
    <w:rsid w:val="137F4010"/>
    <w:rsid w:val="13A03748"/>
    <w:rsid w:val="13AA259B"/>
    <w:rsid w:val="13DB2CD5"/>
    <w:rsid w:val="13DE2089"/>
    <w:rsid w:val="141D497F"/>
    <w:rsid w:val="142E323B"/>
    <w:rsid w:val="1451718A"/>
    <w:rsid w:val="14563BC5"/>
    <w:rsid w:val="145E378B"/>
    <w:rsid w:val="145E4687"/>
    <w:rsid w:val="146650E6"/>
    <w:rsid w:val="14A33C9A"/>
    <w:rsid w:val="14BD00D4"/>
    <w:rsid w:val="14BF7CEF"/>
    <w:rsid w:val="14C43F7F"/>
    <w:rsid w:val="14C66A2F"/>
    <w:rsid w:val="14FC493B"/>
    <w:rsid w:val="15024AA0"/>
    <w:rsid w:val="150C7C01"/>
    <w:rsid w:val="151D0FC8"/>
    <w:rsid w:val="152C4170"/>
    <w:rsid w:val="156C43CF"/>
    <w:rsid w:val="1587758B"/>
    <w:rsid w:val="159F77EA"/>
    <w:rsid w:val="15A7768F"/>
    <w:rsid w:val="15D06772"/>
    <w:rsid w:val="15D20674"/>
    <w:rsid w:val="15EB0459"/>
    <w:rsid w:val="15FA50EA"/>
    <w:rsid w:val="160C6557"/>
    <w:rsid w:val="16260A23"/>
    <w:rsid w:val="1659375B"/>
    <w:rsid w:val="165C0934"/>
    <w:rsid w:val="1699685D"/>
    <w:rsid w:val="169F1533"/>
    <w:rsid w:val="16D20434"/>
    <w:rsid w:val="16DC7327"/>
    <w:rsid w:val="16E07612"/>
    <w:rsid w:val="16F20BF8"/>
    <w:rsid w:val="17046ABE"/>
    <w:rsid w:val="17224752"/>
    <w:rsid w:val="174A1F4D"/>
    <w:rsid w:val="1761010A"/>
    <w:rsid w:val="17725A13"/>
    <w:rsid w:val="1807243E"/>
    <w:rsid w:val="18075E4B"/>
    <w:rsid w:val="18122D8B"/>
    <w:rsid w:val="181E1BE5"/>
    <w:rsid w:val="18204C5B"/>
    <w:rsid w:val="18282E5B"/>
    <w:rsid w:val="1859440C"/>
    <w:rsid w:val="189E0258"/>
    <w:rsid w:val="18BF36C6"/>
    <w:rsid w:val="18FE61E1"/>
    <w:rsid w:val="19086591"/>
    <w:rsid w:val="19294F87"/>
    <w:rsid w:val="193E13C3"/>
    <w:rsid w:val="196428DD"/>
    <w:rsid w:val="196631E3"/>
    <w:rsid w:val="199B112F"/>
    <w:rsid w:val="199B33AC"/>
    <w:rsid w:val="19B23BEE"/>
    <w:rsid w:val="19B961AD"/>
    <w:rsid w:val="19C56701"/>
    <w:rsid w:val="1A506B98"/>
    <w:rsid w:val="1A6030D1"/>
    <w:rsid w:val="1A603913"/>
    <w:rsid w:val="1A8D24C5"/>
    <w:rsid w:val="1AAE229C"/>
    <w:rsid w:val="1AB77F13"/>
    <w:rsid w:val="1AE54A70"/>
    <w:rsid w:val="1AF03DFE"/>
    <w:rsid w:val="1AF546D5"/>
    <w:rsid w:val="1B397A5E"/>
    <w:rsid w:val="1B423BCE"/>
    <w:rsid w:val="1B495E88"/>
    <w:rsid w:val="1B5104BD"/>
    <w:rsid w:val="1B6E0624"/>
    <w:rsid w:val="1B6E14C3"/>
    <w:rsid w:val="1B6E6E20"/>
    <w:rsid w:val="1B953F06"/>
    <w:rsid w:val="1BFE2981"/>
    <w:rsid w:val="1C0E5E32"/>
    <w:rsid w:val="1C1F2B2B"/>
    <w:rsid w:val="1C744549"/>
    <w:rsid w:val="1C855ED0"/>
    <w:rsid w:val="1CA30D42"/>
    <w:rsid w:val="1CC00AE6"/>
    <w:rsid w:val="1CD722CD"/>
    <w:rsid w:val="1CF160DD"/>
    <w:rsid w:val="1D055235"/>
    <w:rsid w:val="1D0825EC"/>
    <w:rsid w:val="1D312B0A"/>
    <w:rsid w:val="1D3F0819"/>
    <w:rsid w:val="1D69095A"/>
    <w:rsid w:val="1D6E09E6"/>
    <w:rsid w:val="1DCF4D02"/>
    <w:rsid w:val="1DD34BD4"/>
    <w:rsid w:val="1DD57043"/>
    <w:rsid w:val="1DDF6EFA"/>
    <w:rsid w:val="1DE273E5"/>
    <w:rsid w:val="1E2437AF"/>
    <w:rsid w:val="1E350130"/>
    <w:rsid w:val="1E54365A"/>
    <w:rsid w:val="1E562293"/>
    <w:rsid w:val="1E640010"/>
    <w:rsid w:val="1E6E50ED"/>
    <w:rsid w:val="1E70623A"/>
    <w:rsid w:val="1E910BF8"/>
    <w:rsid w:val="1E9764FA"/>
    <w:rsid w:val="1EB8662B"/>
    <w:rsid w:val="1ED644A5"/>
    <w:rsid w:val="1EE25437"/>
    <w:rsid w:val="1EF01886"/>
    <w:rsid w:val="1EFC2BA6"/>
    <w:rsid w:val="1F0258F9"/>
    <w:rsid w:val="1F132372"/>
    <w:rsid w:val="1F470685"/>
    <w:rsid w:val="1F542676"/>
    <w:rsid w:val="1F58266E"/>
    <w:rsid w:val="1F6569CE"/>
    <w:rsid w:val="1F74670C"/>
    <w:rsid w:val="1F7A3169"/>
    <w:rsid w:val="1F9521B9"/>
    <w:rsid w:val="1F9C2B3C"/>
    <w:rsid w:val="1FA062FA"/>
    <w:rsid w:val="1FCC4EA3"/>
    <w:rsid w:val="1FD31C54"/>
    <w:rsid w:val="1FE83B34"/>
    <w:rsid w:val="1FFA6ED5"/>
    <w:rsid w:val="1FFB4D3D"/>
    <w:rsid w:val="2008634B"/>
    <w:rsid w:val="203103BF"/>
    <w:rsid w:val="2056321A"/>
    <w:rsid w:val="206139B2"/>
    <w:rsid w:val="207948DF"/>
    <w:rsid w:val="207C5B5C"/>
    <w:rsid w:val="20811029"/>
    <w:rsid w:val="20932102"/>
    <w:rsid w:val="20A12393"/>
    <w:rsid w:val="20B62882"/>
    <w:rsid w:val="20D064A7"/>
    <w:rsid w:val="20EC284F"/>
    <w:rsid w:val="20F038EE"/>
    <w:rsid w:val="210551C3"/>
    <w:rsid w:val="21366CDC"/>
    <w:rsid w:val="214F11D2"/>
    <w:rsid w:val="215D3879"/>
    <w:rsid w:val="215D77E9"/>
    <w:rsid w:val="216F1D53"/>
    <w:rsid w:val="21762A7A"/>
    <w:rsid w:val="217753D7"/>
    <w:rsid w:val="217A3D02"/>
    <w:rsid w:val="21857D21"/>
    <w:rsid w:val="21BE400D"/>
    <w:rsid w:val="22037EFF"/>
    <w:rsid w:val="222B4955"/>
    <w:rsid w:val="223161F9"/>
    <w:rsid w:val="2266792D"/>
    <w:rsid w:val="22685401"/>
    <w:rsid w:val="227B5922"/>
    <w:rsid w:val="22A04B5C"/>
    <w:rsid w:val="22B0374F"/>
    <w:rsid w:val="22B04FA2"/>
    <w:rsid w:val="2301502D"/>
    <w:rsid w:val="231B022B"/>
    <w:rsid w:val="233D6D9A"/>
    <w:rsid w:val="2382450F"/>
    <w:rsid w:val="238A40FE"/>
    <w:rsid w:val="23B018A5"/>
    <w:rsid w:val="23C23E14"/>
    <w:rsid w:val="23D97215"/>
    <w:rsid w:val="23FB4C4E"/>
    <w:rsid w:val="2400754E"/>
    <w:rsid w:val="241D6ECB"/>
    <w:rsid w:val="2420653B"/>
    <w:rsid w:val="24212EB5"/>
    <w:rsid w:val="24352E60"/>
    <w:rsid w:val="24400C4B"/>
    <w:rsid w:val="24834929"/>
    <w:rsid w:val="248A2484"/>
    <w:rsid w:val="24945E73"/>
    <w:rsid w:val="249572CA"/>
    <w:rsid w:val="24CB0F2C"/>
    <w:rsid w:val="24E72294"/>
    <w:rsid w:val="24F771FF"/>
    <w:rsid w:val="252F11E9"/>
    <w:rsid w:val="25312FE8"/>
    <w:rsid w:val="253B7CD4"/>
    <w:rsid w:val="253E79D1"/>
    <w:rsid w:val="25462B6F"/>
    <w:rsid w:val="254A170A"/>
    <w:rsid w:val="258530F2"/>
    <w:rsid w:val="258C6735"/>
    <w:rsid w:val="259967AB"/>
    <w:rsid w:val="25B2634C"/>
    <w:rsid w:val="25B6044B"/>
    <w:rsid w:val="25B72775"/>
    <w:rsid w:val="25B8222D"/>
    <w:rsid w:val="25E3309F"/>
    <w:rsid w:val="25F40DAA"/>
    <w:rsid w:val="260037EA"/>
    <w:rsid w:val="2615361B"/>
    <w:rsid w:val="261C7472"/>
    <w:rsid w:val="263B7B8C"/>
    <w:rsid w:val="26625782"/>
    <w:rsid w:val="267C7C7C"/>
    <w:rsid w:val="26C15AED"/>
    <w:rsid w:val="26D131EA"/>
    <w:rsid w:val="26E73A06"/>
    <w:rsid w:val="270D0D70"/>
    <w:rsid w:val="277E0077"/>
    <w:rsid w:val="27AD31E0"/>
    <w:rsid w:val="27B0796A"/>
    <w:rsid w:val="27B63065"/>
    <w:rsid w:val="27E42DE0"/>
    <w:rsid w:val="28072A67"/>
    <w:rsid w:val="28312627"/>
    <w:rsid w:val="28347F99"/>
    <w:rsid w:val="283F232A"/>
    <w:rsid w:val="288377E7"/>
    <w:rsid w:val="28953D88"/>
    <w:rsid w:val="28B1747F"/>
    <w:rsid w:val="28CE4A0B"/>
    <w:rsid w:val="28D44B38"/>
    <w:rsid w:val="28EF671C"/>
    <w:rsid w:val="2909411F"/>
    <w:rsid w:val="293A248F"/>
    <w:rsid w:val="29507901"/>
    <w:rsid w:val="29604EE0"/>
    <w:rsid w:val="29686082"/>
    <w:rsid w:val="297621E2"/>
    <w:rsid w:val="29AC0529"/>
    <w:rsid w:val="29B338FA"/>
    <w:rsid w:val="29BD5BD8"/>
    <w:rsid w:val="29D35A0A"/>
    <w:rsid w:val="29E14A9E"/>
    <w:rsid w:val="2A0A73D0"/>
    <w:rsid w:val="2A2925AC"/>
    <w:rsid w:val="2A293E54"/>
    <w:rsid w:val="2A32145D"/>
    <w:rsid w:val="2A38175E"/>
    <w:rsid w:val="2A6C1E93"/>
    <w:rsid w:val="2A760504"/>
    <w:rsid w:val="2A7C3AB9"/>
    <w:rsid w:val="2A9A2C5D"/>
    <w:rsid w:val="2ACC3618"/>
    <w:rsid w:val="2AEE0EE2"/>
    <w:rsid w:val="2AF95786"/>
    <w:rsid w:val="2B366841"/>
    <w:rsid w:val="2B4C655D"/>
    <w:rsid w:val="2B58501E"/>
    <w:rsid w:val="2B7C49E8"/>
    <w:rsid w:val="2B8B6EFD"/>
    <w:rsid w:val="2B9E034C"/>
    <w:rsid w:val="2BA426F9"/>
    <w:rsid w:val="2BD44ABC"/>
    <w:rsid w:val="2C2A273C"/>
    <w:rsid w:val="2C31061E"/>
    <w:rsid w:val="2C460D2D"/>
    <w:rsid w:val="2C583C89"/>
    <w:rsid w:val="2C5A4A07"/>
    <w:rsid w:val="2C6211AF"/>
    <w:rsid w:val="2C7B18D7"/>
    <w:rsid w:val="2C9262E0"/>
    <w:rsid w:val="2CB876F4"/>
    <w:rsid w:val="2CDA0A9A"/>
    <w:rsid w:val="2D044FC4"/>
    <w:rsid w:val="2D85393D"/>
    <w:rsid w:val="2D8D0740"/>
    <w:rsid w:val="2D944F10"/>
    <w:rsid w:val="2D971C5C"/>
    <w:rsid w:val="2DCA3F49"/>
    <w:rsid w:val="2DF85274"/>
    <w:rsid w:val="2E1176AF"/>
    <w:rsid w:val="2E3F4DC8"/>
    <w:rsid w:val="2E50725B"/>
    <w:rsid w:val="2E580347"/>
    <w:rsid w:val="2E726230"/>
    <w:rsid w:val="2E886450"/>
    <w:rsid w:val="2E97616C"/>
    <w:rsid w:val="2EA0421F"/>
    <w:rsid w:val="2ED14A62"/>
    <w:rsid w:val="2EDC10A3"/>
    <w:rsid w:val="2EF5628A"/>
    <w:rsid w:val="2F0A591C"/>
    <w:rsid w:val="2F1A13C7"/>
    <w:rsid w:val="2F200516"/>
    <w:rsid w:val="2F301060"/>
    <w:rsid w:val="2F383D23"/>
    <w:rsid w:val="2FEE2C46"/>
    <w:rsid w:val="2FF203FD"/>
    <w:rsid w:val="300B4B88"/>
    <w:rsid w:val="301A28D2"/>
    <w:rsid w:val="301E3082"/>
    <w:rsid w:val="302419DF"/>
    <w:rsid w:val="302E0578"/>
    <w:rsid w:val="303938EE"/>
    <w:rsid w:val="303F0D17"/>
    <w:rsid w:val="30537354"/>
    <w:rsid w:val="305A4866"/>
    <w:rsid w:val="306E1A64"/>
    <w:rsid w:val="30754F9F"/>
    <w:rsid w:val="307933F4"/>
    <w:rsid w:val="30827C47"/>
    <w:rsid w:val="309E4F12"/>
    <w:rsid w:val="30BA6332"/>
    <w:rsid w:val="30CD5BD4"/>
    <w:rsid w:val="30D57F4A"/>
    <w:rsid w:val="310C79AA"/>
    <w:rsid w:val="31530C4A"/>
    <w:rsid w:val="319B6DA0"/>
    <w:rsid w:val="31BE002D"/>
    <w:rsid w:val="31CE401D"/>
    <w:rsid w:val="31CF0397"/>
    <w:rsid w:val="31CF2744"/>
    <w:rsid w:val="31DE6140"/>
    <w:rsid w:val="31F55056"/>
    <w:rsid w:val="320F63A1"/>
    <w:rsid w:val="322D0A02"/>
    <w:rsid w:val="326135FA"/>
    <w:rsid w:val="327C62D6"/>
    <w:rsid w:val="32D7212B"/>
    <w:rsid w:val="32E92A84"/>
    <w:rsid w:val="32EF5278"/>
    <w:rsid w:val="32FD10CC"/>
    <w:rsid w:val="33292667"/>
    <w:rsid w:val="336A605D"/>
    <w:rsid w:val="337F74C2"/>
    <w:rsid w:val="33826692"/>
    <w:rsid w:val="33973165"/>
    <w:rsid w:val="33F346B2"/>
    <w:rsid w:val="341B41BD"/>
    <w:rsid w:val="342F433D"/>
    <w:rsid w:val="348143F9"/>
    <w:rsid w:val="348D0A9B"/>
    <w:rsid w:val="349328D0"/>
    <w:rsid w:val="3496191E"/>
    <w:rsid w:val="34B46D71"/>
    <w:rsid w:val="34F51333"/>
    <w:rsid w:val="3512138F"/>
    <w:rsid w:val="351E01D9"/>
    <w:rsid w:val="35380149"/>
    <w:rsid w:val="353B1208"/>
    <w:rsid w:val="35C56E1D"/>
    <w:rsid w:val="35CD65C9"/>
    <w:rsid w:val="35D959D2"/>
    <w:rsid w:val="35E64BAC"/>
    <w:rsid w:val="35ED1B7B"/>
    <w:rsid w:val="360809C2"/>
    <w:rsid w:val="3677189B"/>
    <w:rsid w:val="36A90A3D"/>
    <w:rsid w:val="36B21D98"/>
    <w:rsid w:val="36C3253E"/>
    <w:rsid w:val="36CC24A7"/>
    <w:rsid w:val="36D91728"/>
    <w:rsid w:val="36E9539A"/>
    <w:rsid w:val="370D2DE7"/>
    <w:rsid w:val="37175162"/>
    <w:rsid w:val="37486660"/>
    <w:rsid w:val="374F45DF"/>
    <w:rsid w:val="37606B43"/>
    <w:rsid w:val="37940DE9"/>
    <w:rsid w:val="37D36963"/>
    <w:rsid w:val="37EB6539"/>
    <w:rsid w:val="37EC6C0E"/>
    <w:rsid w:val="382E0EDB"/>
    <w:rsid w:val="383B681E"/>
    <w:rsid w:val="38426EF7"/>
    <w:rsid w:val="38B85B8F"/>
    <w:rsid w:val="38C74112"/>
    <w:rsid w:val="38CB47E7"/>
    <w:rsid w:val="39097752"/>
    <w:rsid w:val="392E113B"/>
    <w:rsid w:val="39362315"/>
    <w:rsid w:val="394D54B8"/>
    <w:rsid w:val="39534A8E"/>
    <w:rsid w:val="39702741"/>
    <w:rsid w:val="397A492B"/>
    <w:rsid w:val="397E2188"/>
    <w:rsid w:val="39BD7132"/>
    <w:rsid w:val="39C73660"/>
    <w:rsid w:val="39CA44D2"/>
    <w:rsid w:val="39D14081"/>
    <w:rsid w:val="39D3200B"/>
    <w:rsid w:val="3A195F8B"/>
    <w:rsid w:val="3A2F74C4"/>
    <w:rsid w:val="3A4B0D92"/>
    <w:rsid w:val="3A6C4FC4"/>
    <w:rsid w:val="3A713352"/>
    <w:rsid w:val="3A912A68"/>
    <w:rsid w:val="3A974E63"/>
    <w:rsid w:val="3A9F1715"/>
    <w:rsid w:val="3AA208A6"/>
    <w:rsid w:val="3AA3111C"/>
    <w:rsid w:val="3AC16BCF"/>
    <w:rsid w:val="3B044C44"/>
    <w:rsid w:val="3B1D1CB0"/>
    <w:rsid w:val="3B266BC1"/>
    <w:rsid w:val="3B4D3E06"/>
    <w:rsid w:val="3B6155F8"/>
    <w:rsid w:val="3B9C751E"/>
    <w:rsid w:val="3BBB5EEF"/>
    <w:rsid w:val="3BCF5D9D"/>
    <w:rsid w:val="3BD00300"/>
    <w:rsid w:val="3BD633F4"/>
    <w:rsid w:val="3BEE3310"/>
    <w:rsid w:val="3BF73B96"/>
    <w:rsid w:val="3BFE75E2"/>
    <w:rsid w:val="3C2E66F4"/>
    <w:rsid w:val="3C471DD2"/>
    <w:rsid w:val="3C58033F"/>
    <w:rsid w:val="3C6018E7"/>
    <w:rsid w:val="3C872FD5"/>
    <w:rsid w:val="3CA100D8"/>
    <w:rsid w:val="3CB51561"/>
    <w:rsid w:val="3CC4485D"/>
    <w:rsid w:val="3CD3087D"/>
    <w:rsid w:val="3CD916E9"/>
    <w:rsid w:val="3D1C5DF7"/>
    <w:rsid w:val="3D6111FE"/>
    <w:rsid w:val="3D73087C"/>
    <w:rsid w:val="3D767A50"/>
    <w:rsid w:val="3D793FD3"/>
    <w:rsid w:val="3DE30E7C"/>
    <w:rsid w:val="3DE95CDD"/>
    <w:rsid w:val="3DFE5266"/>
    <w:rsid w:val="3E0262F7"/>
    <w:rsid w:val="3E0349F9"/>
    <w:rsid w:val="3E0D3E6F"/>
    <w:rsid w:val="3E282822"/>
    <w:rsid w:val="3E556CF6"/>
    <w:rsid w:val="3E650E62"/>
    <w:rsid w:val="3E674AE4"/>
    <w:rsid w:val="3E7A2A94"/>
    <w:rsid w:val="3E8774DD"/>
    <w:rsid w:val="3E973E9C"/>
    <w:rsid w:val="3EB85D65"/>
    <w:rsid w:val="3EB915DE"/>
    <w:rsid w:val="3EC210C1"/>
    <w:rsid w:val="3EE60666"/>
    <w:rsid w:val="3EE67AC2"/>
    <w:rsid w:val="3EF4252B"/>
    <w:rsid w:val="3F1A59CE"/>
    <w:rsid w:val="3F264576"/>
    <w:rsid w:val="3F295D52"/>
    <w:rsid w:val="3F324454"/>
    <w:rsid w:val="3F5407AC"/>
    <w:rsid w:val="3F702BB7"/>
    <w:rsid w:val="3F933251"/>
    <w:rsid w:val="3F9C4C8E"/>
    <w:rsid w:val="3F9E258E"/>
    <w:rsid w:val="3FD80B2F"/>
    <w:rsid w:val="3FFD5042"/>
    <w:rsid w:val="3FFE0EB1"/>
    <w:rsid w:val="400E106D"/>
    <w:rsid w:val="400F54B2"/>
    <w:rsid w:val="40211FF8"/>
    <w:rsid w:val="402621F3"/>
    <w:rsid w:val="40364ED7"/>
    <w:rsid w:val="403A6897"/>
    <w:rsid w:val="40550FA2"/>
    <w:rsid w:val="40632E92"/>
    <w:rsid w:val="40794361"/>
    <w:rsid w:val="4087494C"/>
    <w:rsid w:val="40FA39C2"/>
    <w:rsid w:val="41231E5A"/>
    <w:rsid w:val="412542B1"/>
    <w:rsid w:val="412639D1"/>
    <w:rsid w:val="41354CEB"/>
    <w:rsid w:val="413C4E5C"/>
    <w:rsid w:val="41570733"/>
    <w:rsid w:val="416A3FEF"/>
    <w:rsid w:val="418C29F2"/>
    <w:rsid w:val="419352AB"/>
    <w:rsid w:val="41AC47F0"/>
    <w:rsid w:val="41D46316"/>
    <w:rsid w:val="42174C3E"/>
    <w:rsid w:val="421D69D4"/>
    <w:rsid w:val="42491EC2"/>
    <w:rsid w:val="42553ED0"/>
    <w:rsid w:val="42C02329"/>
    <w:rsid w:val="430C4051"/>
    <w:rsid w:val="430D24AE"/>
    <w:rsid w:val="431A436B"/>
    <w:rsid w:val="436547C6"/>
    <w:rsid w:val="4379695D"/>
    <w:rsid w:val="43806EDB"/>
    <w:rsid w:val="43D26B22"/>
    <w:rsid w:val="43DC3FBF"/>
    <w:rsid w:val="43DD4BD1"/>
    <w:rsid w:val="43E90BDC"/>
    <w:rsid w:val="4404001B"/>
    <w:rsid w:val="44062441"/>
    <w:rsid w:val="44271125"/>
    <w:rsid w:val="4437021A"/>
    <w:rsid w:val="443D6E1E"/>
    <w:rsid w:val="445562E4"/>
    <w:rsid w:val="44974A2A"/>
    <w:rsid w:val="44A73519"/>
    <w:rsid w:val="44A80D72"/>
    <w:rsid w:val="44CC67F5"/>
    <w:rsid w:val="44EF7AB1"/>
    <w:rsid w:val="45521DB5"/>
    <w:rsid w:val="45584E69"/>
    <w:rsid w:val="458A6E54"/>
    <w:rsid w:val="458C7DCA"/>
    <w:rsid w:val="459F61A4"/>
    <w:rsid w:val="45DD3891"/>
    <w:rsid w:val="45E106D6"/>
    <w:rsid w:val="45EF75D7"/>
    <w:rsid w:val="45F84270"/>
    <w:rsid w:val="46116703"/>
    <w:rsid w:val="46151ED6"/>
    <w:rsid w:val="461B3512"/>
    <w:rsid w:val="46316D60"/>
    <w:rsid w:val="46453487"/>
    <w:rsid w:val="4649448B"/>
    <w:rsid w:val="468E3CA9"/>
    <w:rsid w:val="469C2FF2"/>
    <w:rsid w:val="46C01DDD"/>
    <w:rsid w:val="46CD39A9"/>
    <w:rsid w:val="46CF6A23"/>
    <w:rsid w:val="46D604AD"/>
    <w:rsid w:val="470D31BE"/>
    <w:rsid w:val="47334D21"/>
    <w:rsid w:val="47467DC5"/>
    <w:rsid w:val="47872E22"/>
    <w:rsid w:val="478D3F05"/>
    <w:rsid w:val="47AA0F30"/>
    <w:rsid w:val="47BA4602"/>
    <w:rsid w:val="48061968"/>
    <w:rsid w:val="4841200B"/>
    <w:rsid w:val="484676D2"/>
    <w:rsid w:val="485269E6"/>
    <w:rsid w:val="48613A14"/>
    <w:rsid w:val="4868651D"/>
    <w:rsid w:val="48791B3D"/>
    <w:rsid w:val="487E0F83"/>
    <w:rsid w:val="488D760D"/>
    <w:rsid w:val="489F1430"/>
    <w:rsid w:val="48A231D8"/>
    <w:rsid w:val="48C4328E"/>
    <w:rsid w:val="48C9200C"/>
    <w:rsid w:val="48FB2A55"/>
    <w:rsid w:val="49286CAB"/>
    <w:rsid w:val="49312223"/>
    <w:rsid w:val="4947047F"/>
    <w:rsid w:val="4958458A"/>
    <w:rsid w:val="496E119F"/>
    <w:rsid w:val="498909FD"/>
    <w:rsid w:val="49E746B8"/>
    <w:rsid w:val="4A02211A"/>
    <w:rsid w:val="4A2851ED"/>
    <w:rsid w:val="4A32437E"/>
    <w:rsid w:val="4A48199D"/>
    <w:rsid w:val="4A4F6C56"/>
    <w:rsid w:val="4A78229E"/>
    <w:rsid w:val="4A90135A"/>
    <w:rsid w:val="4AAB69F2"/>
    <w:rsid w:val="4ABC54E2"/>
    <w:rsid w:val="4AC61EB1"/>
    <w:rsid w:val="4AC80AEB"/>
    <w:rsid w:val="4AD13B4B"/>
    <w:rsid w:val="4ADC6206"/>
    <w:rsid w:val="4AF90E56"/>
    <w:rsid w:val="4B121896"/>
    <w:rsid w:val="4B3348DE"/>
    <w:rsid w:val="4B390320"/>
    <w:rsid w:val="4B4B1E2A"/>
    <w:rsid w:val="4B5E43BD"/>
    <w:rsid w:val="4B7600E7"/>
    <w:rsid w:val="4BA3465D"/>
    <w:rsid w:val="4BAC608E"/>
    <w:rsid w:val="4BBA45E7"/>
    <w:rsid w:val="4BDD74F6"/>
    <w:rsid w:val="4BEF4B77"/>
    <w:rsid w:val="4C243840"/>
    <w:rsid w:val="4C3F14E7"/>
    <w:rsid w:val="4C414F53"/>
    <w:rsid w:val="4C5D1DDC"/>
    <w:rsid w:val="4CF869E6"/>
    <w:rsid w:val="4D07639E"/>
    <w:rsid w:val="4D0B6E2E"/>
    <w:rsid w:val="4D4A54DB"/>
    <w:rsid w:val="4D5A062A"/>
    <w:rsid w:val="4D624C3B"/>
    <w:rsid w:val="4D6F7A2D"/>
    <w:rsid w:val="4DA47C32"/>
    <w:rsid w:val="4DB04F8E"/>
    <w:rsid w:val="4E43264F"/>
    <w:rsid w:val="4E486BC4"/>
    <w:rsid w:val="4E6400B8"/>
    <w:rsid w:val="4E6611DB"/>
    <w:rsid w:val="4E665254"/>
    <w:rsid w:val="4E8715F2"/>
    <w:rsid w:val="4E9B6395"/>
    <w:rsid w:val="4ED236A1"/>
    <w:rsid w:val="4ED35F02"/>
    <w:rsid w:val="4EDC3327"/>
    <w:rsid w:val="4EDE64DB"/>
    <w:rsid w:val="4EE4463C"/>
    <w:rsid w:val="4EE8408E"/>
    <w:rsid w:val="4F1B4FA8"/>
    <w:rsid w:val="4F1E4C7D"/>
    <w:rsid w:val="4F4E303E"/>
    <w:rsid w:val="4FC566E3"/>
    <w:rsid w:val="4FD10CAD"/>
    <w:rsid w:val="4FDA131C"/>
    <w:rsid w:val="4FDF7657"/>
    <w:rsid w:val="4FF739E1"/>
    <w:rsid w:val="50081268"/>
    <w:rsid w:val="500A4BEF"/>
    <w:rsid w:val="506159AA"/>
    <w:rsid w:val="50626C31"/>
    <w:rsid w:val="507F6864"/>
    <w:rsid w:val="51106B74"/>
    <w:rsid w:val="51126B3F"/>
    <w:rsid w:val="51224E5A"/>
    <w:rsid w:val="512A173D"/>
    <w:rsid w:val="51485DFB"/>
    <w:rsid w:val="5176585B"/>
    <w:rsid w:val="51BD6382"/>
    <w:rsid w:val="51D54B73"/>
    <w:rsid w:val="51D660BB"/>
    <w:rsid w:val="51DF1BE1"/>
    <w:rsid w:val="5203265D"/>
    <w:rsid w:val="523031D8"/>
    <w:rsid w:val="523571D2"/>
    <w:rsid w:val="523A7E76"/>
    <w:rsid w:val="5258111A"/>
    <w:rsid w:val="525C1D88"/>
    <w:rsid w:val="52612D85"/>
    <w:rsid w:val="526B014B"/>
    <w:rsid w:val="526F3AC5"/>
    <w:rsid w:val="52882B4A"/>
    <w:rsid w:val="52C30BE9"/>
    <w:rsid w:val="52DC2AA5"/>
    <w:rsid w:val="52E13C7F"/>
    <w:rsid w:val="52EA316F"/>
    <w:rsid w:val="52EF71B4"/>
    <w:rsid w:val="53000F62"/>
    <w:rsid w:val="531C2E48"/>
    <w:rsid w:val="53424F9E"/>
    <w:rsid w:val="535A4FA2"/>
    <w:rsid w:val="53AB7666"/>
    <w:rsid w:val="53B85B9C"/>
    <w:rsid w:val="53C91B3E"/>
    <w:rsid w:val="53F11CED"/>
    <w:rsid w:val="53F1263B"/>
    <w:rsid w:val="54093CFC"/>
    <w:rsid w:val="540C0544"/>
    <w:rsid w:val="54610479"/>
    <w:rsid w:val="546E2996"/>
    <w:rsid w:val="547D06F5"/>
    <w:rsid w:val="54985825"/>
    <w:rsid w:val="549D5C3D"/>
    <w:rsid w:val="54AF4DB3"/>
    <w:rsid w:val="54D6425A"/>
    <w:rsid w:val="55126183"/>
    <w:rsid w:val="55150760"/>
    <w:rsid w:val="553A18EB"/>
    <w:rsid w:val="554C25C1"/>
    <w:rsid w:val="55606A7D"/>
    <w:rsid w:val="55614C53"/>
    <w:rsid w:val="556A0B84"/>
    <w:rsid w:val="556C39EA"/>
    <w:rsid w:val="55755465"/>
    <w:rsid w:val="55846134"/>
    <w:rsid w:val="55FE7749"/>
    <w:rsid w:val="56007CCC"/>
    <w:rsid w:val="56191BC5"/>
    <w:rsid w:val="56374B61"/>
    <w:rsid w:val="56797B5D"/>
    <w:rsid w:val="567A1E48"/>
    <w:rsid w:val="568C5E01"/>
    <w:rsid w:val="56A211CC"/>
    <w:rsid w:val="56AF5E6F"/>
    <w:rsid w:val="56DA3DD4"/>
    <w:rsid w:val="56DB31CC"/>
    <w:rsid w:val="56FA3669"/>
    <w:rsid w:val="57286286"/>
    <w:rsid w:val="57296035"/>
    <w:rsid w:val="573A6DF6"/>
    <w:rsid w:val="57493DD0"/>
    <w:rsid w:val="57502D9B"/>
    <w:rsid w:val="5750720C"/>
    <w:rsid w:val="576910A2"/>
    <w:rsid w:val="576D7783"/>
    <w:rsid w:val="578B33C1"/>
    <w:rsid w:val="57BA750E"/>
    <w:rsid w:val="57C5494B"/>
    <w:rsid w:val="57D0294B"/>
    <w:rsid w:val="57D74294"/>
    <w:rsid w:val="57DC77EE"/>
    <w:rsid w:val="57F42C60"/>
    <w:rsid w:val="580063EC"/>
    <w:rsid w:val="58021B3E"/>
    <w:rsid w:val="581F7852"/>
    <w:rsid w:val="5826348F"/>
    <w:rsid w:val="583C32BF"/>
    <w:rsid w:val="5845716F"/>
    <w:rsid w:val="585E7945"/>
    <w:rsid w:val="585F5A5F"/>
    <w:rsid w:val="586C79A4"/>
    <w:rsid w:val="58A04776"/>
    <w:rsid w:val="58AA270E"/>
    <w:rsid w:val="58AF2C74"/>
    <w:rsid w:val="58B55E53"/>
    <w:rsid w:val="58B73ACC"/>
    <w:rsid w:val="58BC7402"/>
    <w:rsid w:val="58DC7C80"/>
    <w:rsid w:val="58ED28D0"/>
    <w:rsid w:val="58F475B3"/>
    <w:rsid w:val="590B0836"/>
    <w:rsid w:val="590F39BE"/>
    <w:rsid w:val="59111956"/>
    <w:rsid w:val="5920712B"/>
    <w:rsid w:val="5929200C"/>
    <w:rsid w:val="594318F8"/>
    <w:rsid w:val="594C05D8"/>
    <w:rsid w:val="597D19B3"/>
    <w:rsid w:val="598212CC"/>
    <w:rsid w:val="598E3506"/>
    <w:rsid w:val="59C92C49"/>
    <w:rsid w:val="59E504A3"/>
    <w:rsid w:val="59F67256"/>
    <w:rsid w:val="5A2B0471"/>
    <w:rsid w:val="5A491B5B"/>
    <w:rsid w:val="5A9902F6"/>
    <w:rsid w:val="5AF02FAF"/>
    <w:rsid w:val="5AF078C8"/>
    <w:rsid w:val="5AF93A38"/>
    <w:rsid w:val="5AFD6727"/>
    <w:rsid w:val="5B0745E4"/>
    <w:rsid w:val="5B10358B"/>
    <w:rsid w:val="5B1A0716"/>
    <w:rsid w:val="5B1F1C16"/>
    <w:rsid w:val="5B214051"/>
    <w:rsid w:val="5B255750"/>
    <w:rsid w:val="5B3C5EAE"/>
    <w:rsid w:val="5B4071F7"/>
    <w:rsid w:val="5B4E0468"/>
    <w:rsid w:val="5BA46B30"/>
    <w:rsid w:val="5C1046CB"/>
    <w:rsid w:val="5C181DC8"/>
    <w:rsid w:val="5C216A30"/>
    <w:rsid w:val="5C334CBD"/>
    <w:rsid w:val="5C6F72F1"/>
    <w:rsid w:val="5C831D80"/>
    <w:rsid w:val="5C901B4B"/>
    <w:rsid w:val="5C9E3A07"/>
    <w:rsid w:val="5CA971F9"/>
    <w:rsid w:val="5CF91638"/>
    <w:rsid w:val="5D275790"/>
    <w:rsid w:val="5D2D67BB"/>
    <w:rsid w:val="5D532CF5"/>
    <w:rsid w:val="5D680CD4"/>
    <w:rsid w:val="5D6D2750"/>
    <w:rsid w:val="5D6E57C9"/>
    <w:rsid w:val="5D9742FC"/>
    <w:rsid w:val="5DA75408"/>
    <w:rsid w:val="5DB41F43"/>
    <w:rsid w:val="5DBC3F84"/>
    <w:rsid w:val="5DC34106"/>
    <w:rsid w:val="5DDC7CC7"/>
    <w:rsid w:val="5DE22889"/>
    <w:rsid w:val="5DF05C6A"/>
    <w:rsid w:val="5DF47BE5"/>
    <w:rsid w:val="5E2822A1"/>
    <w:rsid w:val="5E421BD5"/>
    <w:rsid w:val="5E4D6199"/>
    <w:rsid w:val="5E6301AE"/>
    <w:rsid w:val="5E6D4E66"/>
    <w:rsid w:val="5E717F00"/>
    <w:rsid w:val="5E8207DF"/>
    <w:rsid w:val="5EDA5386"/>
    <w:rsid w:val="5EE85DF3"/>
    <w:rsid w:val="5F012AC0"/>
    <w:rsid w:val="5F136D84"/>
    <w:rsid w:val="5F144970"/>
    <w:rsid w:val="5F237BDF"/>
    <w:rsid w:val="5F285B2E"/>
    <w:rsid w:val="5F2B7A83"/>
    <w:rsid w:val="5F2E01B4"/>
    <w:rsid w:val="5F553CB5"/>
    <w:rsid w:val="5F6D6835"/>
    <w:rsid w:val="5F723474"/>
    <w:rsid w:val="5FFE28D8"/>
    <w:rsid w:val="6028610A"/>
    <w:rsid w:val="603A11EF"/>
    <w:rsid w:val="604348EF"/>
    <w:rsid w:val="605A7E48"/>
    <w:rsid w:val="605F6B85"/>
    <w:rsid w:val="606F033A"/>
    <w:rsid w:val="60947726"/>
    <w:rsid w:val="60952665"/>
    <w:rsid w:val="60C07563"/>
    <w:rsid w:val="61054B19"/>
    <w:rsid w:val="610573AE"/>
    <w:rsid w:val="611A775C"/>
    <w:rsid w:val="612B5C0F"/>
    <w:rsid w:val="6186485C"/>
    <w:rsid w:val="61A534C9"/>
    <w:rsid w:val="62407902"/>
    <w:rsid w:val="627D72CD"/>
    <w:rsid w:val="62B05DB8"/>
    <w:rsid w:val="62FE1A28"/>
    <w:rsid w:val="63012CD0"/>
    <w:rsid w:val="63131F21"/>
    <w:rsid w:val="6367129F"/>
    <w:rsid w:val="636925FB"/>
    <w:rsid w:val="63762EE5"/>
    <w:rsid w:val="638B6840"/>
    <w:rsid w:val="63B34F21"/>
    <w:rsid w:val="63C82090"/>
    <w:rsid w:val="63CB7F19"/>
    <w:rsid w:val="64094FDA"/>
    <w:rsid w:val="640E252C"/>
    <w:rsid w:val="64137536"/>
    <w:rsid w:val="64957784"/>
    <w:rsid w:val="64AC407E"/>
    <w:rsid w:val="64B40F7B"/>
    <w:rsid w:val="64F006B8"/>
    <w:rsid w:val="65116D1A"/>
    <w:rsid w:val="652C16FC"/>
    <w:rsid w:val="656B6949"/>
    <w:rsid w:val="658827FF"/>
    <w:rsid w:val="659C6C5C"/>
    <w:rsid w:val="65B46AA9"/>
    <w:rsid w:val="65ED6312"/>
    <w:rsid w:val="661969F9"/>
    <w:rsid w:val="661B12FA"/>
    <w:rsid w:val="66442EAF"/>
    <w:rsid w:val="666D53FC"/>
    <w:rsid w:val="6670346B"/>
    <w:rsid w:val="667C6B92"/>
    <w:rsid w:val="66A47E3D"/>
    <w:rsid w:val="66D34CD1"/>
    <w:rsid w:val="670E6364"/>
    <w:rsid w:val="671A57AC"/>
    <w:rsid w:val="672C407F"/>
    <w:rsid w:val="675947CF"/>
    <w:rsid w:val="6765073E"/>
    <w:rsid w:val="676C05BE"/>
    <w:rsid w:val="67A37683"/>
    <w:rsid w:val="67AB1E73"/>
    <w:rsid w:val="67AE3714"/>
    <w:rsid w:val="67F17642"/>
    <w:rsid w:val="68524A6C"/>
    <w:rsid w:val="68656AC9"/>
    <w:rsid w:val="688046DC"/>
    <w:rsid w:val="68AB6F35"/>
    <w:rsid w:val="68BF6321"/>
    <w:rsid w:val="68C63109"/>
    <w:rsid w:val="690C38C7"/>
    <w:rsid w:val="690F32CF"/>
    <w:rsid w:val="69222888"/>
    <w:rsid w:val="69417B98"/>
    <w:rsid w:val="694461B4"/>
    <w:rsid w:val="694709F2"/>
    <w:rsid w:val="6955020D"/>
    <w:rsid w:val="69647FCA"/>
    <w:rsid w:val="69713F75"/>
    <w:rsid w:val="698235F8"/>
    <w:rsid w:val="699732F0"/>
    <w:rsid w:val="69A6041F"/>
    <w:rsid w:val="69B20745"/>
    <w:rsid w:val="69C93AD8"/>
    <w:rsid w:val="69F06789"/>
    <w:rsid w:val="69F42193"/>
    <w:rsid w:val="69FF217C"/>
    <w:rsid w:val="6A094D6C"/>
    <w:rsid w:val="6A1D54EC"/>
    <w:rsid w:val="6A340824"/>
    <w:rsid w:val="6A4C6E2C"/>
    <w:rsid w:val="6A514CF3"/>
    <w:rsid w:val="6A5E116A"/>
    <w:rsid w:val="6A5E3E39"/>
    <w:rsid w:val="6A5F5781"/>
    <w:rsid w:val="6A754086"/>
    <w:rsid w:val="6AE25A7F"/>
    <w:rsid w:val="6AE2619B"/>
    <w:rsid w:val="6B0A2F83"/>
    <w:rsid w:val="6B1D383C"/>
    <w:rsid w:val="6B3F5F77"/>
    <w:rsid w:val="6B474AD1"/>
    <w:rsid w:val="6B7D105A"/>
    <w:rsid w:val="6BA859D8"/>
    <w:rsid w:val="6BB529B2"/>
    <w:rsid w:val="6BCD4A5A"/>
    <w:rsid w:val="6BCE7907"/>
    <w:rsid w:val="6BD415AC"/>
    <w:rsid w:val="6BDB4256"/>
    <w:rsid w:val="6BDE0FD3"/>
    <w:rsid w:val="6BF853D9"/>
    <w:rsid w:val="6C1473C7"/>
    <w:rsid w:val="6C1E27FB"/>
    <w:rsid w:val="6C2B23EB"/>
    <w:rsid w:val="6C2D0327"/>
    <w:rsid w:val="6C494024"/>
    <w:rsid w:val="6C856473"/>
    <w:rsid w:val="6CAC0608"/>
    <w:rsid w:val="6CB86B12"/>
    <w:rsid w:val="6CBA3E20"/>
    <w:rsid w:val="6D1F16DB"/>
    <w:rsid w:val="6D212AE6"/>
    <w:rsid w:val="6D220D2C"/>
    <w:rsid w:val="6D2E39A1"/>
    <w:rsid w:val="6D496D0C"/>
    <w:rsid w:val="6D6915C1"/>
    <w:rsid w:val="6D885B4A"/>
    <w:rsid w:val="6D9257E4"/>
    <w:rsid w:val="6DC66BDE"/>
    <w:rsid w:val="6EA04D89"/>
    <w:rsid w:val="6EB22A6D"/>
    <w:rsid w:val="6EB90FFD"/>
    <w:rsid w:val="6EDF75C3"/>
    <w:rsid w:val="6EEF7F80"/>
    <w:rsid w:val="6F21482C"/>
    <w:rsid w:val="6F2766B3"/>
    <w:rsid w:val="6F2F2CF2"/>
    <w:rsid w:val="6F381B32"/>
    <w:rsid w:val="6F676D27"/>
    <w:rsid w:val="6F982A55"/>
    <w:rsid w:val="70012D4B"/>
    <w:rsid w:val="70473D77"/>
    <w:rsid w:val="7049397F"/>
    <w:rsid w:val="7082486D"/>
    <w:rsid w:val="7083248D"/>
    <w:rsid w:val="709A2550"/>
    <w:rsid w:val="70A16AD1"/>
    <w:rsid w:val="70AD57A9"/>
    <w:rsid w:val="70E0645F"/>
    <w:rsid w:val="70FB6AF3"/>
    <w:rsid w:val="71062342"/>
    <w:rsid w:val="71134F82"/>
    <w:rsid w:val="7125049F"/>
    <w:rsid w:val="713C0AC6"/>
    <w:rsid w:val="71451A69"/>
    <w:rsid w:val="71835EB0"/>
    <w:rsid w:val="719A0510"/>
    <w:rsid w:val="71AD342A"/>
    <w:rsid w:val="71CB7E07"/>
    <w:rsid w:val="71D237AD"/>
    <w:rsid w:val="71E8380D"/>
    <w:rsid w:val="71EB16F2"/>
    <w:rsid w:val="72840768"/>
    <w:rsid w:val="728D3F12"/>
    <w:rsid w:val="729F2EC8"/>
    <w:rsid w:val="72B86035"/>
    <w:rsid w:val="72C24A67"/>
    <w:rsid w:val="72F55CEE"/>
    <w:rsid w:val="72F60400"/>
    <w:rsid w:val="730D1AFA"/>
    <w:rsid w:val="73185BFE"/>
    <w:rsid w:val="73251396"/>
    <w:rsid w:val="73267896"/>
    <w:rsid w:val="73360DD0"/>
    <w:rsid w:val="73445614"/>
    <w:rsid w:val="736E2D11"/>
    <w:rsid w:val="73816825"/>
    <w:rsid w:val="73927F35"/>
    <w:rsid w:val="739707C3"/>
    <w:rsid w:val="7397401D"/>
    <w:rsid w:val="739A2264"/>
    <w:rsid w:val="73B57269"/>
    <w:rsid w:val="73C54B20"/>
    <w:rsid w:val="73DA1B17"/>
    <w:rsid w:val="74042487"/>
    <w:rsid w:val="740C3DBC"/>
    <w:rsid w:val="740C7DF5"/>
    <w:rsid w:val="7427157A"/>
    <w:rsid w:val="74383935"/>
    <w:rsid w:val="74847A00"/>
    <w:rsid w:val="74894243"/>
    <w:rsid w:val="74A6473A"/>
    <w:rsid w:val="74B21ED8"/>
    <w:rsid w:val="74D07392"/>
    <w:rsid w:val="753142DB"/>
    <w:rsid w:val="75343B7B"/>
    <w:rsid w:val="754F5AA3"/>
    <w:rsid w:val="75504C52"/>
    <w:rsid w:val="757E1971"/>
    <w:rsid w:val="75820B88"/>
    <w:rsid w:val="759D55E3"/>
    <w:rsid w:val="75D23399"/>
    <w:rsid w:val="75FF61EC"/>
    <w:rsid w:val="761603F4"/>
    <w:rsid w:val="76257131"/>
    <w:rsid w:val="76263359"/>
    <w:rsid w:val="76451D22"/>
    <w:rsid w:val="764C22FD"/>
    <w:rsid w:val="764F2B29"/>
    <w:rsid w:val="76595790"/>
    <w:rsid w:val="767D4F81"/>
    <w:rsid w:val="768F4760"/>
    <w:rsid w:val="7699595B"/>
    <w:rsid w:val="769B5780"/>
    <w:rsid w:val="76C7223B"/>
    <w:rsid w:val="76CB2FF0"/>
    <w:rsid w:val="76CE2510"/>
    <w:rsid w:val="76E62427"/>
    <w:rsid w:val="76E77461"/>
    <w:rsid w:val="76F85B38"/>
    <w:rsid w:val="773E3F53"/>
    <w:rsid w:val="77440C3E"/>
    <w:rsid w:val="77487139"/>
    <w:rsid w:val="775F5116"/>
    <w:rsid w:val="778B00C9"/>
    <w:rsid w:val="778D3683"/>
    <w:rsid w:val="77B77519"/>
    <w:rsid w:val="77C67778"/>
    <w:rsid w:val="77E801E1"/>
    <w:rsid w:val="77FA420F"/>
    <w:rsid w:val="78553FF3"/>
    <w:rsid w:val="78655274"/>
    <w:rsid w:val="78877480"/>
    <w:rsid w:val="78965C2F"/>
    <w:rsid w:val="78C11852"/>
    <w:rsid w:val="78DC7869"/>
    <w:rsid w:val="7905240F"/>
    <w:rsid w:val="790B4CC7"/>
    <w:rsid w:val="79114FFC"/>
    <w:rsid w:val="79162CBA"/>
    <w:rsid w:val="79233249"/>
    <w:rsid w:val="79243F1D"/>
    <w:rsid w:val="794D13FE"/>
    <w:rsid w:val="79607C74"/>
    <w:rsid w:val="79622109"/>
    <w:rsid w:val="797D11D5"/>
    <w:rsid w:val="79861E54"/>
    <w:rsid w:val="79B861DD"/>
    <w:rsid w:val="79BA4FC8"/>
    <w:rsid w:val="79C41B18"/>
    <w:rsid w:val="79CC7D97"/>
    <w:rsid w:val="79CD3D86"/>
    <w:rsid w:val="79DF519B"/>
    <w:rsid w:val="79F95D93"/>
    <w:rsid w:val="7A1053E5"/>
    <w:rsid w:val="7A241E76"/>
    <w:rsid w:val="7A285B36"/>
    <w:rsid w:val="7A410E24"/>
    <w:rsid w:val="7A4C4AE8"/>
    <w:rsid w:val="7A5048C2"/>
    <w:rsid w:val="7A88788A"/>
    <w:rsid w:val="7A8A6C09"/>
    <w:rsid w:val="7ABB04C8"/>
    <w:rsid w:val="7ACB46EC"/>
    <w:rsid w:val="7AF274BF"/>
    <w:rsid w:val="7AF46ED3"/>
    <w:rsid w:val="7B1B43BF"/>
    <w:rsid w:val="7B217694"/>
    <w:rsid w:val="7B4559C3"/>
    <w:rsid w:val="7B4F4FEE"/>
    <w:rsid w:val="7B5E7B76"/>
    <w:rsid w:val="7B805701"/>
    <w:rsid w:val="7BAB6F1A"/>
    <w:rsid w:val="7BF1484F"/>
    <w:rsid w:val="7BF362FE"/>
    <w:rsid w:val="7BF550DB"/>
    <w:rsid w:val="7C055465"/>
    <w:rsid w:val="7C144F18"/>
    <w:rsid w:val="7C14595C"/>
    <w:rsid w:val="7C3F6BDF"/>
    <w:rsid w:val="7C487D67"/>
    <w:rsid w:val="7C492B38"/>
    <w:rsid w:val="7C652244"/>
    <w:rsid w:val="7C6C2F17"/>
    <w:rsid w:val="7C6E62C8"/>
    <w:rsid w:val="7D2C263D"/>
    <w:rsid w:val="7D4B094F"/>
    <w:rsid w:val="7D62567D"/>
    <w:rsid w:val="7D9354CE"/>
    <w:rsid w:val="7D9773D9"/>
    <w:rsid w:val="7D994941"/>
    <w:rsid w:val="7DA157E8"/>
    <w:rsid w:val="7DAB451A"/>
    <w:rsid w:val="7DE05829"/>
    <w:rsid w:val="7DF248C1"/>
    <w:rsid w:val="7DF3069C"/>
    <w:rsid w:val="7E223026"/>
    <w:rsid w:val="7E381970"/>
    <w:rsid w:val="7E5129FC"/>
    <w:rsid w:val="7E5946BC"/>
    <w:rsid w:val="7E5C4A54"/>
    <w:rsid w:val="7E6821AA"/>
    <w:rsid w:val="7E942C26"/>
    <w:rsid w:val="7EA15BDC"/>
    <w:rsid w:val="7EA70877"/>
    <w:rsid w:val="7EC173F5"/>
    <w:rsid w:val="7ECF7FB6"/>
    <w:rsid w:val="7EE73CAC"/>
    <w:rsid w:val="7F194F41"/>
    <w:rsid w:val="7F1D6C45"/>
    <w:rsid w:val="7F4C5619"/>
    <w:rsid w:val="7F6304BB"/>
    <w:rsid w:val="7F7E36EC"/>
    <w:rsid w:val="7FA70E19"/>
    <w:rsid w:val="7FA74CD7"/>
    <w:rsid w:val="7FCE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560" w:firstLineChars="200"/>
      <w:jc w:val="both"/>
    </w:pPr>
    <w:rPr>
      <w:rFonts w:ascii="Times New Roman" w:hAnsi="Times New Roman" w:eastAsia="宋体" w:cs="Times New Roman"/>
      <w:sz w:val="24"/>
      <w:szCs w:val="28"/>
      <w:lang w:val="en-US" w:eastAsia="zh-CN" w:bidi="ar-SA"/>
    </w:rPr>
  </w:style>
  <w:style w:type="paragraph" w:styleId="3">
    <w:name w:val="heading 1"/>
    <w:basedOn w:val="1"/>
    <w:next w:val="1"/>
    <w:link w:val="31"/>
    <w:qFormat/>
    <w:uiPriority w:val="0"/>
    <w:pPr>
      <w:ind w:firstLine="0" w:firstLineChars="0"/>
      <w:jc w:val="center"/>
      <w:outlineLvl w:val="0"/>
    </w:pPr>
    <w:rPr>
      <w:rFonts w:eastAsia="黑体"/>
      <w:b/>
      <w:color w:val="000000"/>
      <w:sz w:val="32"/>
      <w:szCs w:val="32"/>
    </w:rPr>
  </w:style>
  <w:style w:type="paragraph" w:styleId="4">
    <w:name w:val="heading 2"/>
    <w:basedOn w:val="1"/>
    <w:next w:val="1"/>
    <w:qFormat/>
    <w:uiPriority w:val="0"/>
    <w:pPr>
      <w:keepNext/>
      <w:keepLines/>
      <w:ind w:firstLine="0" w:firstLineChars="0"/>
      <w:outlineLvl w:val="1"/>
    </w:pPr>
    <w:rPr>
      <w:rFonts w:eastAsia="仿宋"/>
      <w:b/>
      <w:bCs/>
      <w:color w:val="000000"/>
      <w:sz w:val="30"/>
    </w:rPr>
  </w:style>
  <w:style w:type="paragraph" w:styleId="5">
    <w:name w:val="heading 3"/>
    <w:basedOn w:val="1"/>
    <w:next w:val="2"/>
    <w:link w:val="29"/>
    <w:qFormat/>
    <w:uiPriority w:val="0"/>
    <w:pPr>
      <w:keepNext/>
      <w:keepLines/>
      <w:ind w:firstLine="200"/>
      <w:outlineLvl w:val="2"/>
    </w:pPr>
    <w:rPr>
      <w:rFonts w:eastAsia="仿宋"/>
      <w:b/>
      <w:bCs/>
      <w:color w:val="000000"/>
      <w:sz w:val="30"/>
    </w:rPr>
  </w:style>
  <w:style w:type="paragraph" w:styleId="6">
    <w:name w:val="heading 4"/>
    <w:basedOn w:val="1"/>
    <w:next w:val="1"/>
    <w:unhideWhenUsed/>
    <w:qFormat/>
    <w:uiPriority w:val="0"/>
    <w:pPr>
      <w:keepNext/>
      <w:keepLines/>
      <w:outlineLvl w:val="3"/>
    </w:pPr>
    <w:rPr>
      <w:b/>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7">
    <w:name w:val="annotation text"/>
    <w:basedOn w:val="1"/>
    <w:link w:val="47"/>
    <w:qFormat/>
    <w:uiPriority w:val="0"/>
  </w:style>
  <w:style w:type="paragraph" w:styleId="8">
    <w:name w:val="Body Text"/>
    <w:basedOn w:val="1"/>
    <w:unhideWhenUsed/>
    <w:qFormat/>
    <w:uiPriority w:val="99"/>
    <w:pPr>
      <w:spacing w:after="120"/>
    </w:pPr>
  </w:style>
  <w:style w:type="paragraph" w:styleId="9">
    <w:name w:val="Body Text Indent"/>
    <w:basedOn w:val="1"/>
    <w:qFormat/>
    <w:uiPriority w:val="99"/>
    <w:pPr>
      <w:tabs>
        <w:tab w:val="left" w:pos="3025"/>
      </w:tabs>
      <w:spacing w:line="420" w:lineRule="exact"/>
      <w:ind w:firstLine="480"/>
    </w:pPr>
    <w:rPr>
      <w:kern w:val="2"/>
      <w:szCs w:val="24"/>
    </w:rPr>
  </w:style>
  <w:style w:type="paragraph" w:styleId="10">
    <w:name w:val="Plain Text"/>
    <w:basedOn w:val="1"/>
    <w:qFormat/>
    <w:uiPriority w:val="0"/>
    <w:pPr>
      <w:spacing w:line="360" w:lineRule="atLeast"/>
    </w:pPr>
    <w:rPr>
      <w:rFonts w:ascii="宋体" w:hAnsi="Courier New" w:eastAsia="仿宋_GB2312"/>
      <w:bCs/>
      <w:color w:val="000000"/>
      <w:sz w:val="21"/>
    </w:rPr>
  </w:style>
  <w:style w:type="paragraph" w:styleId="11">
    <w:name w:val="Body Text Indent 2"/>
    <w:basedOn w:val="1"/>
    <w:unhideWhenUsed/>
    <w:qFormat/>
    <w:uiPriority w:val="0"/>
    <w:pPr>
      <w:spacing w:after="120" w:line="480" w:lineRule="auto"/>
      <w:ind w:left="420" w:leftChars="200"/>
    </w:pPr>
  </w:style>
  <w:style w:type="paragraph" w:styleId="12">
    <w:name w:val="Balloon Text"/>
    <w:basedOn w:val="1"/>
    <w:link w:val="46"/>
    <w:qFormat/>
    <w:uiPriority w:val="0"/>
    <w:pPr>
      <w:spacing w:line="240" w:lineRule="auto"/>
    </w:pPr>
    <w:rPr>
      <w:sz w:val="18"/>
      <w:szCs w:val="18"/>
    </w:rPr>
  </w:style>
  <w:style w:type="paragraph" w:styleId="13">
    <w:name w:val="footer"/>
    <w:basedOn w:val="1"/>
    <w:unhideWhenUsed/>
    <w:qFormat/>
    <w:uiPriority w:val="99"/>
    <w:pPr>
      <w:pBdr>
        <w:top w:val="single" w:color="auto" w:sz="4" w:space="1"/>
      </w:pBdr>
      <w:tabs>
        <w:tab w:val="center" w:pos="4395"/>
        <w:tab w:val="right" w:pos="8789"/>
      </w:tabs>
      <w:snapToGrid w:val="0"/>
      <w:spacing w:line="240" w:lineRule="auto"/>
      <w:ind w:right="-2" w:firstLine="420"/>
    </w:pPr>
    <w:rPr>
      <w:rFonts w:ascii="Arial" w:hAnsi="Arial"/>
      <w:sz w:val="21"/>
      <w:szCs w:val="18"/>
    </w:rPr>
  </w:style>
  <w:style w:type="paragraph" w:styleId="14">
    <w:name w:val="header"/>
    <w:basedOn w:val="1"/>
    <w:unhideWhenUsed/>
    <w:qFormat/>
    <w:uiPriority w:val="0"/>
    <w:pPr>
      <w:pBdr>
        <w:bottom w:val="single" w:color="auto" w:sz="6" w:space="1"/>
      </w:pBdr>
      <w:tabs>
        <w:tab w:val="right" w:pos="8789"/>
      </w:tabs>
      <w:snapToGrid w:val="0"/>
      <w:spacing w:line="240" w:lineRule="auto"/>
      <w:ind w:firstLine="0" w:firstLineChars="0"/>
      <w:jc w:val="center"/>
    </w:pPr>
    <w:rPr>
      <w:rFonts w:ascii="Arial" w:hAnsi="Arial"/>
      <w:sz w:val="21"/>
      <w:szCs w:val="21"/>
    </w:rPr>
  </w:style>
  <w:style w:type="paragraph" w:styleId="15">
    <w:name w:val="toc 1"/>
    <w:basedOn w:val="1"/>
    <w:next w:val="1"/>
    <w:qFormat/>
    <w:uiPriority w:val="39"/>
    <w:pPr>
      <w:widowControl w:val="0"/>
      <w:tabs>
        <w:tab w:val="right" w:leader="dot" w:pos="8789"/>
      </w:tabs>
      <w:spacing w:before="120" w:after="120" w:line="312" w:lineRule="auto"/>
      <w:ind w:firstLine="0" w:firstLineChars="0"/>
    </w:pPr>
    <w:rPr>
      <w:b/>
      <w:bCs/>
      <w:caps/>
      <w:kern w:val="44"/>
      <w:lang w:bidi="he-IL"/>
    </w:rPr>
  </w:style>
  <w:style w:type="paragraph" w:styleId="16">
    <w:name w:val="toc 2"/>
    <w:basedOn w:val="1"/>
    <w:next w:val="1"/>
    <w:qFormat/>
    <w:uiPriority w:val="39"/>
    <w:pPr>
      <w:widowControl w:val="0"/>
      <w:tabs>
        <w:tab w:val="right" w:leader="dot" w:pos="8789"/>
      </w:tabs>
      <w:spacing w:line="312" w:lineRule="auto"/>
      <w:ind w:left="210" w:firstLine="0" w:firstLineChars="0"/>
    </w:pPr>
    <w:rPr>
      <w:smallCaps/>
      <w:kern w:val="2"/>
      <w:szCs w:val="24"/>
      <w:lang w:bidi="he-IL"/>
    </w:rPr>
  </w:style>
  <w:style w:type="paragraph" w:styleId="17">
    <w:name w:val="Normal (Web)"/>
    <w:basedOn w:val="1"/>
    <w:qFormat/>
    <w:uiPriority w:val="0"/>
    <w:pPr>
      <w:spacing w:beforeAutospacing="1" w:afterAutospacing="1"/>
    </w:pPr>
  </w:style>
  <w:style w:type="paragraph" w:styleId="18">
    <w:name w:val="Title"/>
    <w:basedOn w:val="1"/>
    <w:next w:val="1"/>
    <w:link w:val="52"/>
    <w:qFormat/>
    <w:uiPriority w:val="0"/>
    <w:pPr>
      <w:spacing w:before="240" w:after="60"/>
      <w:jc w:val="center"/>
      <w:outlineLvl w:val="0"/>
    </w:pPr>
    <w:rPr>
      <w:rFonts w:asciiTheme="majorHAnsi" w:hAnsiTheme="majorHAnsi" w:eastAsiaTheme="majorEastAsia" w:cstheme="majorBidi"/>
      <w:b/>
      <w:bCs/>
      <w:sz w:val="32"/>
      <w:szCs w:val="32"/>
    </w:rPr>
  </w:style>
  <w:style w:type="paragraph" w:styleId="19">
    <w:name w:val="annotation subject"/>
    <w:basedOn w:val="7"/>
    <w:next w:val="7"/>
    <w:link w:val="48"/>
    <w:qFormat/>
    <w:uiPriority w:val="0"/>
    <w:rPr>
      <w:b/>
      <w:bCs/>
    </w:rPr>
  </w:style>
  <w:style w:type="paragraph" w:styleId="20">
    <w:name w:val="Body Text First Indent"/>
    <w:basedOn w:val="8"/>
    <w:qFormat/>
    <w:uiPriority w:val="99"/>
    <w:pPr>
      <w:ind w:firstLine="420" w:firstLineChars="100"/>
    </w:pPr>
  </w:style>
  <w:style w:type="paragraph" w:styleId="21">
    <w:name w:val="Body Text First Indent 2"/>
    <w:basedOn w:val="9"/>
    <w:qFormat/>
    <w:uiPriority w:val="99"/>
    <w:pPr>
      <w:ind w:firstLine="420"/>
    </w:pPr>
    <w:rPr>
      <w:rFonts w:ascii="Times New Roman" w:hAnsi="Times New Roman" w:eastAsia="宋体"/>
      <w:color w:val="000000" w:themeColor="text1"/>
      <w14:textFill>
        <w14:solidFill>
          <w14:schemeClr w14:val="tx1"/>
        </w14:solidFill>
      </w14:textFill>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FollowedHyperlink"/>
    <w:basedOn w:val="24"/>
    <w:unhideWhenUsed/>
    <w:qFormat/>
    <w:uiPriority w:val="99"/>
    <w:rPr>
      <w:color w:val="954F72"/>
      <w:u w:val="single"/>
    </w:rPr>
  </w:style>
  <w:style w:type="character" w:styleId="27">
    <w:name w:val="Hyperlink"/>
    <w:qFormat/>
    <w:uiPriority w:val="99"/>
    <w:rPr>
      <w:color w:val="0000FF"/>
      <w:u w:val="none"/>
    </w:rPr>
  </w:style>
  <w:style w:type="character" w:styleId="28">
    <w:name w:val="annotation reference"/>
    <w:basedOn w:val="24"/>
    <w:qFormat/>
    <w:uiPriority w:val="0"/>
    <w:rPr>
      <w:sz w:val="21"/>
      <w:szCs w:val="21"/>
    </w:rPr>
  </w:style>
  <w:style w:type="character" w:customStyle="1" w:styleId="29">
    <w:name w:val="标题 3 字符"/>
    <w:link w:val="5"/>
    <w:qFormat/>
    <w:uiPriority w:val="0"/>
    <w:rPr>
      <w:rFonts w:eastAsia="仿宋"/>
      <w:b/>
      <w:bCs/>
      <w:color w:val="000000"/>
      <w:sz w:val="30"/>
      <w:szCs w:val="28"/>
    </w:rPr>
  </w:style>
  <w:style w:type="paragraph" w:customStyle="1" w:styleId="30">
    <w:name w:val="题目5"/>
    <w:basedOn w:val="1"/>
    <w:next w:val="1"/>
    <w:qFormat/>
    <w:uiPriority w:val="0"/>
    <w:pPr>
      <w:ind w:firstLine="0" w:firstLineChars="0"/>
    </w:pPr>
    <w:rPr>
      <w:b/>
      <w:sz w:val="32"/>
      <w:szCs w:val="20"/>
    </w:rPr>
  </w:style>
  <w:style w:type="character" w:customStyle="1" w:styleId="31">
    <w:name w:val="标题 1 字符"/>
    <w:link w:val="3"/>
    <w:qFormat/>
    <w:uiPriority w:val="0"/>
    <w:rPr>
      <w:rFonts w:eastAsia="黑体"/>
      <w:b/>
      <w:color w:val="000000"/>
      <w:sz w:val="32"/>
      <w:szCs w:val="32"/>
    </w:rPr>
  </w:style>
  <w:style w:type="paragraph" w:customStyle="1" w:styleId="3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33">
    <w:name w:val="font11"/>
    <w:basedOn w:val="24"/>
    <w:qFormat/>
    <w:uiPriority w:val="0"/>
    <w:rPr>
      <w:rFonts w:hint="default" w:ascii="Times New Roman" w:hAnsi="Times New Roman" w:cs="Times New Roman"/>
      <w:color w:val="000000"/>
      <w:sz w:val="20"/>
      <w:szCs w:val="20"/>
      <w:u w:val="none"/>
    </w:rPr>
  </w:style>
  <w:style w:type="character" w:customStyle="1" w:styleId="34">
    <w:name w:val="font21"/>
    <w:basedOn w:val="24"/>
    <w:qFormat/>
    <w:uiPriority w:val="0"/>
    <w:rPr>
      <w:rFonts w:hint="eastAsia" w:ascii="宋体" w:hAnsi="宋体" w:eastAsia="宋体" w:cs="宋体"/>
      <w:color w:val="000000"/>
      <w:sz w:val="20"/>
      <w:szCs w:val="20"/>
      <w:u w:val="none"/>
    </w:rPr>
  </w:style>
  <w:style w:type="character" w:customStyle="1" w:styleId="35">
    <w:name w:val="font31"/>
    <w:basedOn w:val="24"/>
    <w:qFormat/>
    <w:uiPriority w:val="0"/>
    <w:rPr>
      <w:rFonts w:hint="default" w:ascii="Times New Roman" w:hAnsi="Times New Roman" w:cs="Times New Roman"/>
      <w:color w:val="000000"/>
      <w:sz w:val="20"/>
      <w:szCs w:val="20"/>
      <w:u w:val="none"/>
    </w:rPr>
  </w:style>
  <w:style w:type="character" w:customStyle="1" w:styleId="36">
    <w:name w:val="font61"/>
    <w:basedOn w:val="24"/>
    <w:qFormat/>
    <w:uiPriority w:val="0"/>
    <w:rPr>
      <w:rFonts w:hint="eastAsia" w:ascii="宋体" w:hAnsi="宋体" w:eastAsia="宋体" w:cs="宋体"/>
      <w:color w:val="000000"/>
      <w:sz w:val="18"/>
      <w:szCs w:val="18"/>
      <w:u w:val="none"/>
    </w:rPr>
  </w:style>
  <w:style w:type="paragraph" w:customStyle="1" w:styleId="37">
    <w:name w:val="Table Paragraph"/>
    <w:basedOn w:val="1"/>
    <w:qFormat/>
    <w:uiPriority w:val="0"/>
    <w:pPr>
      <w:autoSpaceDE w:val="0"/>
      <w:autoSpaceDN w:val="0"/>
      <w:jc w:val="center"/>
    </w:pPr>
    <w:rPr>
      <w:sz w:val="22"/>
    </w:rPr>
  </w:style>
  <w:style w:type="paragraph" w:customStyle="1" w:styleId="38">
    <w:name w:val="报告正文"/>
    <w:basedOn w:val="20"/>
    <w:qFormat/>
    <w:uiPriority w:val="0"/>
    <w:pPr>
      <w:adjustRightInd w:val="0"/>
      <w:spacing w:after="0"/>
      <w:ind w:firstLine="200" w:firstLineChars="200"/>
      <w:textAlignment w:val="baseline"/>
    </w:pPr>
    <w:rPr>
      <w:kern w:val="2"/>
      <w:sz w:val="28"/>
      <w:szCs w:val="24"/>
      <w:lang w:bidi="he-IL"/>
    </w:rPr>
  </w:style>
  <w:style w:type="paragraph" w:customStyle="1" w:styleId="39">
    <w:name w:val="表名"/>
    <w:basedOn w:val="1"/>
    <w:next w:val="1"/>
    <w:qFormat/>
    <w:uiPriority w:val="0"/>
    <w:pPr>
      <w:spacing w:after="50" w:afterLines="50"/>
      <w:ind w:firstLine="200"/>
      <w:textAlignment w:val="center"/>
    </w:pPr>
    <w:rPr>
      <w:rFonts w:eastAsia="仿宋_GB2312"/>
      <w:b/>
      <w:kern w:val="2"/>
      <w:szCs w:val="21"/>
    </w:rPr>
  </w:style>
  <w:style w:type="paragraph" w:customStyle="1" w:styleId="40">
    <w:name w:val="表格文字"/>
    <w:basedOn w:val="1"/>
    <w:qFormat/>
    <w:uiPriority w:val="0"/>
    <w:pPr>
      <w:jc w:val="center"/>
      <w:textAlignment w:val="center"/>
    </w:pPr>
    <w:rPr>
      <w:rFonts w:eastAsia="仿宋_GB2312"/>
      <w:kern w:val="2"/>
      <w:sz w:val="21"/>
      <w:szCs w:val="21"/>
    </w:rPr>
  </w:style>
  <w:style w:type="paragraph" w:customStyle="1" w:styleId="41">
    <w:name w:val="三"/>
    <w:basedOn w:val="4"/>
    <w:qFormat/>
    <w:uiPriority w:val="0"/>
    <w:pPr>
      <w:keepNext w:val="0"/>
      <w:overflowPunct w:val="0"/>
      <w:topLinePunct/>
      <w:spacing w:before="240" w:beforeLines="100"/>
      <w:outlineLvl w:val="2"/>
    </w:pPr>
    <w:rPr>
      <w:bCs w:val="0"/>
      <w:kern w:val="44"/>
    </w:rPr>
  </w:style>
  <w:style w:type="paragraph" w:customStyle="1" w:styleId="42">
    <w:name w:val="备注"/>
    <w:basedOn w:val="1"/>
    <w:next w:val="1"/>
    <w:qFormat/>
    <w:uiPriority w:val="0"/>
    <w:pPr>
      <w:snapToGrid w:val="0"/>
      <w:spacing w:before="20" w:beforeLines="20"/>
      <w:ind w:firstLine="200"/>
      <w:contextualSpacing/>
      <w:textAlignment w:val="center"/>
    </w:pPr>
    <w:rPr>
      <w:rFonts w:eastAsia="楷体_GB2312"/>
      <w:b/>
      <w:kern w:val="2"/>
      <w:sz w:val="21"/>
      <w:szCs w:val="21"/>
    </w:rPr>
  </w:style>
  <w:style w:type="paragraph" w:styleId="43">
    <w:name w:val="List Paragraph"/>
    <w:basedOn w:val="1"/>
    <w:qFormat/>
    <w:uiPriority w:val="34"/>
    <w:pPr>
      <w:ind w:firstLine="420"/>
    </w:pPr>
  </w:style>
  <w:style w:type="table" w:customStyle="1" w:styleId="44">
    <w:name w:val="方案表格"/>
    <w:basedOn w:val="22"/>
    <w:qFormat/>
    <w:uiPriority w:val="9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rPr>
        <w:b/>
      </w:rPr>
    </w:tblStylePr>
  </w:style>
  <w:style w:type="paragraph" w:customStyle="1" w:styleId="45">
    <w:name w:val="图名"/>
    <w:basedOn w:val="1"/>
    <w:next w:val="1"/>
    <w:qFormat/>
    <w:uiPriority w:val="0"/>
    <w:pPr>
      <w:spacing w:after="50" w:afterLines="50"/>
      <w:jc w:val="center"/>
      <w:textAlignment w:val="center"/>
    </w:pPr>
    <w:rPr>
      <w:rFonts w:eastAsia="仿宋_GB2312"/>
      <w:b/>
      <w:kern w:val="2"/>
      <w:szCs w:val="21"/>
    </w:rPr>
  </w:style>
  <w:style w:type="character" w:customStyle="1" w:styleId="46">
    <w:name w:val="批注框文本 字符"/>
    <w:basedOn w:val="24"/>
    <w:link w:val="12"/>
    <w:qFormat/>
    <w:uiPriority w:val="0"/>
    <w:rPr>
      <w:sz w:val="18"/>
      <w:szCs w:val="18"/>
    </w:rPr>
  </w:style>
  <w:style w:type="character" w:customStyle="1" w:styleId="47">
    <w:name w:val="批注文字 字符"/>
    <w:basedOn w:val="24"/>
    <w:link w:val="7"/>
    <w:qFormat/>
    <w:uiPriority w:val="0"/>
    <w:rPr>
      <w:sz w:val="28"/>
      <w:szCs w:val="28"/>
    </w:rPr>
  </w:style>
  <w:style w:type="character" w:customStyle="1" w:styleId="48">
    <w:name w:val="批注主题 字符"/>
    <w:basedOn w:val="47"/>
    <w:link w:val="19"/>
    <w:qFormat/>
    <w:uiPriority w:val="0"/>
    <w:rPr>
      <w:b/>
      <w:bCs/>
      <w:sz w:val="28"/>
      <w:szCs w:val="28"/>
    </w:rPr>
  </w:style>
  <w:style w:type="paragraph" w:customStyle="1" w:styleId="49">
    <w:name w:val="修订1"/>
    <w:hidden/>
    <w:semiHidden/>
    <w:qFormat/>
    <w:uiPriority w:val="99"/>
    <w:rPr>
      <w:rFonts w:ascii="Times New Roman" w:hAnsi="Times New Roman" w:eastAsia="宋体" w:cs="Times New Roman"/>
      <w:sz w:val="28"/>
      <w:szCs w:val="28"/>
      <w:lang w:val="en-US" w:eastAsia="zh-CN" w:bidi="ar-SA"/>
    </w:rPr>
  </w:style>
  <w:style w:type="character" w:customStyle="1" w:styleId="50">
    <w:name w:val="font41"/>
    <w:basedOn w:val="24"/>
    <w:qFormat/>
    <w:uiPriority w:val="0"/>
    <w:rPr>
      <w:rFonts w:hint="default" w:ascii="Times New Roman" w:hAnsi="Times New Roman" w:cs="Times New Roman"/>
      <w:color w:val="000000"/>
      <w:sz w:val="20"/>
      <w:szCs w:val="20"/>
      <w:u w:val="none"/>
    </w:rPr>
  </w:style>
  <w:style w:type="character" w:customStyle="1" w:styleId="51">
    <w:name w:val="font71"/>
    <w:basedOn w:val="24"/>
    <w:qFormat/>
    <w:uiPriority w:val="0"/>
    <w:rPr>
      <w:rFonts w:hint="default" w:ascii="Times New Roman" w:hAnsi="Times New Roman" w:cs="Times New Roman"/>
      <w:color w:val="000000"/>
      <w:sz w:val="20"/>
      <w:szCs w:val="20"/>
      <w:u w:val="none"/>
    </w:rPr>
  </w:style>
  <w:style w:type="character" w:customStyle="1" w:styleId="52">
    <w:name w:val="标题 字符"/>
    <w:basedOn w:val="24"/>
    <w:link w:val="18"/>
    <w:qFormat/>
    <w:uiPriority w:val="0"/>
    <w:rPr>
      <w:rFonts w:asciiTheme="majorHAnsi" w:hAnsiTheme="majorHAnsi" w:eastAsiaTheme="majorEastAsia" w:cstheme="majorBidi"/>
      <w:b/>
      <w:bCs/>
      <w:sz w:val="32"/>
      <w:szCs w:val="32"/>
    </w:rPr>
  </w:style>
  <w:style w:type="paragraph" w:customStyle="1" w:styleId="53">
    <w:name w:val="文档标题"/>
    <w:basedOn w:val="1"/>
    <w:qFormat/>
    <w:uiPriority w:val="0"/>
    <w:pPr>
      <w:widowControl w:val="0"/>
      <w:spacing w:line="560" w:lineRule="exact"/>
      <w:ind w:firstLine="0" w:firstLineChars="0"/>
      <w:jc w:val="center"/>
    </w:pPr>
    <w:rPr>
      <w:rFonts w:hint="eastAsia" w:ascii="方正小标宋简体" w:eastAsia="方正小标宋简体" w:cs="宋体"/>
      <w:kern w:val="2"/>
      <w:sz w:val="44"/>
      <w:szCs w:val="20"/>
    </w:rPr>
  </w:style>
  <w:style w:type="paragraph" w:customStyle="1" w:styleId="54">
    <w:name w:val="msonormal"/>
    <w:basedOn w:val="1"/>
    <w:qFormat/>
    <w:uiPriority w:val="0"/>
    <w:pPr>
      <w:spacing w:before="100" w:beforeAutospacing="1" w:after="100" w:afterAutospacing="1" w:line="240" w:lineRule="auto"/>
      <w:ind w:firstLine="0" w:firstLineChars="0"/>
      <w:jc w:val="left"/>
    </w:pPr>
    <w:rPr>
      <w:rFonts w:ascii="宋体" w:hAnsi="宋体" w:cs="宋体"/>
      <w:szCs w:val="24"/>
    </w:rPr>
  </w:style>
  <w:style w:type="paragraph" w:customStyle="1" w:styleId="55">
    <w:name w:val="font5"/>
    <w:basedOn w:val="1"/>
    <w:qFormat/>
    <w:uiPriority w:val="0"/>
    <w:pPr>
      <w:spacing w:before="100" w:beforeAutospacing="1" w:after="100" w:afterAutospacing="1" w:line="240" w:lineRule="auto"/>
      <w:ind w:firstLine="0" w:firstLineChars="0"/>
      <w:jc w:val="left"/>
    </w:pPr>
    <w:rPr>
      <w:color w:val="000000"/>
      <w:sz w:val="22"/>
      <w:szCs w:val="22"/>
    </w:rPr>
  </w:style>
  <w:style w:type="paragraph" w:customStyle="1" w:styleId="56">
    <w:name w:val="font6"/>
    <w:basedOn w:val="1"/>
    <w:qFormat/>
    <w:uiPriority w:val="0"/>
    <w:pPr>
      <w:spacing w:before="100" w:beforeAutospacing="1" w:after="100" w:afterAutospacing="1" w:line="240" w:lineRule="auto"/>
      <w:ind w:firstLine="0" w:firstLineChars="0"/>
      <w:jc w:val="left"/>
    </w:pPr>
    <w:rPr>
      <w:rFonts w:ascii="宋体" w:hAnsi="宋体" w:cs="宋体"/>
      <w:b/>
      <w:bCs/>
      <w:color w:val="000000"/>
      <w:sz w:val="20"/>
      <w:szCs w:val="20"/>
    </w:rPr>
  </w:style>
  <w:style w:type="paragraph" w:customStyle="1" w:styleId="57">
    <w:name w:val="font7"/>
    <w:basedOn w:val="1"/>
    <w:qFormat/>
    <w:uiPriority w:val="0"/>
    <w:pPr>
      <w:spacing w:before="100" w:beforeAutospacing="1" w:after="100" w:afterAutospacing="1" w:line="240" w:lineRule="auto"/>
      <w:ind w:firstLine="0" w:firstLineChars="0"/>
      <w:jc w:val="left"/>
    </w:pPr>
    <w:rPr>
      <w:rFonts w:ascii="宋体" w:hAnsi="宋体" w:cs="宋体"/>
      <w:color w:val="000000"/>
      <w:sz w:val="20"/>
      <w:szCs w:val="20"/>
    </w:rPr>
  </w:style>
  <w:style w:type="paragraph" w:customStyle="1" w:styleId="58">
    <w:name w:val="font8"/>
    <w:basedOn w:val="1"/>
    <w:qFormat/>
    <w:uiPriority w:val="0"/>
    <w:pPr>
      <w:spacing w:before="100" w:beforeAutospacing="1" w:after="100" w:afterAutospacing="1" w:line="240" w:lineRule="auto"/>
      <w:ind w:firstLine="0" w:firstLineChars="0"/>
      <w:jc w:val="left"/>
    </w:pPr>
    <w:rPr>
      <w:color w:val="000000"/>
      <w:sz w:val="20"/>
      <w:szCs w:val="20"/>
    </w:rPr>
  </w:style>
  <w:style w:type="paragraph" w:customStyle="1" w:styleId="59">
    <w:name w:val="font9"/>
    <w:basedOn w:val="1"/>
    <w:qFormat/>
    <w:uiPriority w:val="0"/>
    <w:pPr>
      <w:spacing w:before="100" w:beforeAutospacing="1" w:after="100" w:afterAutospacing="1" w:line="240" w:lineRule="auto"/>
      <w:ind w:firstLine="0" w:firstLineChars="0"/>
      <w:jc w:val="left"/>
    </w:pPr>
    <w:rPr>
      <w:rFonts w:ascii="宋体" w:hAnsi="宋体" w:cs="宋体"/>
      <w:color w:val="000000"/>
      <w:sz w:val="22"/>
      <w:szCs w:val="22"/>
    </w:rPr>
  </w:style>
  <w:style w:type="paragraph" w:customStyle="1" w:styleId="60">
    <w:name w:val="font10"/>
    <w:basedOn w:val="1"/>
    <w:qFormat/>
    <w:uiPriority w:val="0"/>
    <w:pPr>
      <w:spacing w:before="100" w:beforeAutospacing="1" w:after="100" w:afterAutospacing="1" w:line="240" w:lineRule="auto"/>
      <w:ind w:firstLine="0" w:firstLineChars="0"/>
      <w:jc w:val="left"/>
    </w:pPr>
    <w:rPr>
      <w:rFonts w:ascii="等线" w:hAnsi="等线" w:eastAsia="等线" w:cs="宋体"/>
      <w:sz w:val="18"/>
      <w:szCs w:val="18"/>
    </w:rPr>
  </w:style>
  <w:style w:type="paragraph" w:customStyle="1" w:styleId="6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62">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6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64">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65">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66">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67">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68">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69">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70">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71">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Cs w:val="24"/>
    </w:rPr>
  </w:style>
  <w:style w:type="paragraph" w:customStyle="1" w:styleId="72">
    <w:name w:val="xl77"/>
    <w:basedOn w:val="1"/>
    <w:qFormat/>
    <w:uiPriority w:val="0"/>
    <w:pP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73">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Cs w:val="24"/>
    </w:rPr>
  </w:style>
  <w:style w:type="paragraph" w:customStyle="1" w:styleId="74">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sz w:val="20"/>
      <w:szCs w:val="20"/>
    </w:rPr>
  </w:style>
  <w:style w:type="paragraph" w:customStyle="1" w:styleId="75">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FF0000"/>
      <w:sz w:val="20"/>
      <w:szCs w:val="20"/>
    </w:rPr>
  </w:style>
  <w:style w:type="paragraph" w:customStyle="1" w:styleId="76">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20"/>
      <w:szCs w:val="20"/>
    </w:rPr>
  </w:style>
  <w:style w:type="paragraph" w:customStyle="1" w:styleId="7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Cs w:val="24"/>
    </w:rPr>
  </w:style>
  <w:style w:type="paragraph" w:customStyle="1" w:styleId="78">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sz w:val="20"/>
      <w:szCs w:val="20"/>
    </w:rPr>
  </w:style>
  <w:style w:type="paragraph" w:customStyle="1" w:styleId="79">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80">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8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2">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3">
    <w:name w:val="xl88"/>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Cs w:val="24"/>
    </w:rPr>
  </w:style>
  <w:style w:type="paragraph" w:customStyle="1" w:styleId="84">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5">
    <w:name w:val="xl90"/>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6">
    <w:name w:val="xl91"/>
    <w:basedOn w:val="1"/>
    <w:qFormat/>
    <w:uiPriority w:val="0"/>
    <w:pPr>
      <w:pBdr>
        <w:top w:val="single" w:color="auto" w:sz="4" w:space="0"/>
        <w:bottom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7">
    <w:name w:val="xl92"/>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8">
    <w:name w:val="xl9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szCs w:val="24"/>
    </w:rPr>
  </w:style>
  <w:style w:type="paragraph" w:customStyle="1" w:styleId="89">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color w:val="000000"/>
      <w:szCs w:val="24"/>
    </w:rPr>
  </w:style>
  <w:style w:type="paragraph" w:customStyle="1" w:styleId="90">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Cs w:val="24"/>
    </w:rPr>
  </w:style>
  <w:style w:type="paragraph" w:customStyle="1" w:styleId="91">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92">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color w:val="000000"/>
      <w:sz w:val="20"/>
      <w:szCs w:val="20"/>
    </w:rPr>
  </w:style>
  <w:style w:type="paragraph" w:customStyle="1" w:styleId="93">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sz w:val="20"/>
      <w:szCs w:val="20"/>
    </w:rPr>
  </w:style>
  <w:style w:type="paragraph" w:customStyle="1" w:styleId="94">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95">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szCs w:val="24"/>
    </w:rPr>
  </w:style>
  <w:style w:type="paragraph" w:customStyle="1" w:styleId="96">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color w:val="000000"/>
      <w:szCs w:val="24"/>
    </w:rPr>
  </w:style>
  <w:style w:type="paragraph" w:customStyle="1" w:styleId="97">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98">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color w:val="000000"/>
      <w:sz w:val="20"/>
      <w:szCs w:val="20"/>
    </w:rPr>
  </w:style>
  <w:style w:type="paragraph" w:customStyle="1" w:styleId="99">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sz w:val="20"/>
      <w:szCs w:val="20"/>
    </w:rPr>
  </w:style>
  <w:style w:type="paragraph" w:customStyle="1" w:styleId="100">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01">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102">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szCs w:val="24"/>
    </w:rPr>
  </w:style>
  <w:style w:type="paragraph" w:customStyle="1" w:styleId="103">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104">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color w:val="000000"/>
      <w:sz w:val="20"/>
      <w:szCs w:val="20"/>
    </w:rPr>
  </w:style>
  <w:style w:type="paragraph" w:customStyle="1" w:styleId="105">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Cs w:val="24"/>
    </w:rPr>
  </w:style>
  <w:style w:type="paragraph" w:customStyle="1" w:styleId="106">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107">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108">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Cs w:val="24"/>
    </w:rPr>
  </w:style>
  <w:style w:type="paragraph" w:customStyle="1" w:styleId="109">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Cs w:val="24"/>
    </w:rPr>
  </w:style>
  <w:style w:type="paragraph" w:customStyle="1" w:styleId="110">
    <w:name w:val="xl118"/>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szCs w:val="24"/>
    </w:rPr>
  </w:style>
  <w:style w:type="paragraph" w:customStyle="1" w:styleId="111">
    <w:name w:val="xl119"/>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12">
    <w:name w:val="xl120"/>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113">
    <w:name w:val="xl121"/>
    <w:basedOn w:val="1"/>
    <w:qFormat/>
    <w:uiPriority w:val="0"/>
    <w:pPr>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szCs w:val="24"/>
    </w:rPr>
  </w:style>
  <w:style w:type="paragraph" w:customStyle="1" w:styleId="114">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15">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Cs w:val="24"/>
    </w:rPr>
  </w:style>
  <w:style w:type="paragraph" w:customStyle="1" w:styleId="116">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Cs w:val="24"/>
    </w:rPr>
  </w:style>
  <w:style w:type="paragraph" w:customStyle="1" w:styleId="117">
    <w:name w:val="xl125"/>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b/>
      <w:bCs/>
      <w:color w:val="000000"/>
      <w:szCs w:val="24"/>
    </w:rPr>
  </w:style>
  <w:style w:type="paragraph" w:customStyle="1" w:styleId="118">
    <w:name w:val="xl126"/>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119">
    <w:name w:val="xl127"/>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color w:val="000000"/>
      <w:szCs w:val="24"/>
    </w:rPr>
  </w:style>
  <w:style w:type="paragraph" w:customStyle="1" w:styleId="120">
    <w:name w:val="xl128"/>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b/>
      <w:bCs/>
      <w:color w:val="000000"/>
      <w:szCs w:val="24"/>
    </w:rPr>
  </w:style>
  <w:style w:type="paragraph" w:customStyle="1" w:styleId="121">
    <w:name w:val="xl129"/>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b/>
      <w:bCs/>
      <w:sz w:val="20"/>
      <w:szCs w:val="20"/>
    </w:rPr>
  </w:style>
  <w:style w:type="paragraph" w:customStyle="1" w:styleId="122">
    <w:name w:val="xl130"/>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123">
    <w:name w:val="xl131"/>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sz w:val="20"/>
      <w:szCs w:val="20"/>
    </w:rPr>
  </w:style>
  <w:style w:type="paragraph" w:customStyle="1" w:styleId="124">
    <w:name w:val="xl132"/>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25">
    <w:name w:val="xl133"/>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26">
    <w:name w:val="xl134"/>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127">
    <w:name w:val="xl135"/>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28">
    <w:name w:val="xl136"/>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paragraph" w:customStyle="1" w:styleId="129">
    <w:name w:val="xl137"/>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b/>
      <w:bCs/>
      <w:color w:val="000000"/>
      <w:sz w:val="20"/>
      <w:szCs w:val="20"/>
    </w:rPr>
  </w:style>
  <w:style w:type="paragraph" w:customStyle="1" w:styleId="130">
    <w:name w:val="xl138"/>
    <w:basedOn w:val="1"/>
    <w:qFormat/>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ind w:firstLine="0" w:firstLineChars="0"/>
      <w:jc w:val="center"/>
      <w:textAlignment w:val="center"/>
    </w:pPr>
    <w:rPr>
      <w:rFonts w:ascii="宋体" w:hAnsi="宋体" w:cs="宋体"/>
      <w:color w:val="000000"/>
      <w:sz w:val="20"/>
      <w:szCs w:val="20"/>
    </w:rPr>
  </w:style>
  <w:style w:type="character" w:customStyle="1" w:styleId="131">
    <w:name w:val="font51"/>
    <w:basedOn w:val="24"/>
    <w:qFormat/>
    <w:uiPriority w:val="0"/>
    <w:rPr>
      <w:rFonts w:hint="default" w:ascii="Times New Roman" w:hAnsi="Times New Roman" w:cs="Times New Roman"/>
      <w:color w:val="FF0000"/>
      <w:sz w:val="22"/>
      <w:szCs w:val="22"/>
      <w:u w:val="none"/>
    </w:rPr>
  </w:style>
  <w:style w:type="paragraph" w:customStyle="1" w:styleId="132">
    <w:name w:val="WPSOffice手动目录 1"/>
    <w:qFormat/>
    <w:uiPriority w:val="0"/>
    <w:pPr>
      <w:ind w:leftChars="0"/>
    </w:pPr>
    <w:rPr>
      <w:rFonts w:ascii="Times New Roman" w:hAnsi="Times New Roman" w:eastAsia="宋体" w:cs="Times New Roman"/>
      <w:sz w:val="20"/>
      <w:szCs w:val="20"/>
    </w:rPr>
  </w:style>
  <w:style w:type="paragraph" w:customStyle="1" w:styleId="1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dell\Desktop\&#39033;&#30446;&#21069;&#26399;&#32463;&#36153;&#25903;&#20184;\&#36153;&#29992;&#32479;&#35745;&#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sz="1400" b="0" i="0" u="none" strike="noStrike" baseline="0">
                <a:solidFill>
                  <a:srgbClr val="000000"/>
                </a:solidFill>
                <a:latin typeface="宋体" panose="02010600030101010101" charset="-122"/>
                <a:ea typeface="宋体" panose="02010600030101010101" charset="-122"/>
                <a:cs typeface="宋体" panose="02010600030101010101" charset="-122"/>
              </a:rPr>
              <a:t>云和县</a:t>
            </a:r>
            <a:r>
              <a:rPr lang="en-US" altLang="zh-CN" sz="14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a:t>
            </a:r>
            <a:r>
              <a:rPr altLang="en-US" sz="1400" b="0" i="0" u="none" strike="noStrike" baseline="0">
                <a:solidFill>
                  <a:srgbClr val="000000"/>
                </a:solidFill>
                <a:latin typeface="宋体" panose="02010600030101010101" charset="-122"/>
                <a:ea typeface="宋体" panose="02010600030101010101" charset="-122"/>
                <a:cs typeface="宋体" panose="02010600030101010101" charset="-122"/>
              </a:rPr>
              <a:t>十四五</a:t>
            </a:r>
            <a:r>
              <a:rPr lang="en-US" altLang="zh-CN" sz="14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a:t>
            </a:r>
            <a:r>
              <a:rPr altLang="en-US" sz="1400" b="0" i="0" u="none" strike="noStrike" baseline="0">
                <a:solidFill>
                  <a:srgbClr val="000000"/>
                </a:solidFill>
                <a:latin typeface="宋体" panose="02010600030101010101" charset="-122"/>
                <a:ea typeface="宋体" panose="02010600030101010101" charset="-122"/>
                <a:cs typeface="宋体" panose="02010600030101010101" charset="-122"/>
              </a:rPr>
              <a:t>水利发展规划投资情况表</a:t>
            </a:r>
            <a:endParaRPr altLang="en-US" sz="1400" b="0" i="0" u="none" strike="noStrike" baseline="0">
              <a:solidFill>
                <a:srgbClr val="000000"/>
              </a:solidFill>
              <a:latin typeface="宋体" panose="02010600030101010101" charset="-122"/>
              <a:ea typeface="宋体" panose="02010600030101010101" charset="-122"/>
              <a:cs typeface="宋体" panose="02010600030101010101" charset="-122"/>
            </a:endParaRPr>
          </a:p>
          <a:p>
            <a:pPr>
              <a:defRPr lang="zh-CN" sz="1400" b="0" i="0" u="none" strike="noStrike" kern="1200" spc="0" baseline="0">
                <a:solidFill>
                  <a:schemeClr val="tx1"/>
                </a:solidFill>
                <a:latin typeface="+mn-lt"/>
                <a:ea typeface="+mn-ea"/>
                <a:cs typeface="+mn-cs"/>
              </a:defRPr>
            </a:pPr>
            <a:r>
              <a:rPr sz="1400" b="0" i="0" u="none" strike="noStrike" baseline="0">
                <a:solidFill>
                  <a:srgbClr val="000000"/>
                </a:solidFill>
                <a:latin typeface="宋体" panose="02010600030101010101" charset="-122"/>
                <a:ea typeface="宋体" panose="02010600030101010101" charset="-122"/>
                <a:cs typeface="宋体" panose="02010600030101010101" charset="-122"/>
              </a:rPr>
              <a:t>单位（亿元）</a:t>
            </a:r>
            <a:endParaRPr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284855612178231"/>
          <c:y val="0.138478500551268"/>
          <c:w val="0.452240951260943"/>
          <c:h val="0.763175303197354"/>
        </c:manualLayout>
      </c:layout>
      <c:doughnutChart>
        <c:varyColors val="1"/>
        <c:ser>
          <c:idx val="0"/>
          <c:order val="0"/>
          <c:spPr>
            <a:solidFill>
              <a:srgbClr val="2FC5CC"/>
            </a:solidFill>
            <a:ln>
              <a:solidFill>
                <a:schemeClr val="bg1"/>
              </a:solidFill>
            </a:ln>
            <a:effectLst>
              <a:outerShdw blurRad="50800" dist="38100" dir="5400000" algn="t" rotWithShape="0">
                <a:schemeClr val="bg1">
                  <a:lumMod val="65000"/>
                  <a:alpha val="32000"/>
                </a:schemeClr>
              </a:outerShdw>
            </a:effectLst>
          </c:spPr>
          <c:explosion val="0"/>
          <c:dPt>
            <c:idx val="0"/>
            <c:bubble3D val="0"/>
            <c:explosion val="0"/>
            <c:spPr>
              <a:solidFill>
                <a:srgbClr val="F79646">
                  <a:lumMod val="60000"/>
                  <a:lumOff val="40000"/>
                </a:srgbClr>
              </a:solidFill>
              <a:ln>
                <a:solidFill>
                  <a:schemeClr val="bg1"/>
                </a:solidFill>
              </a:ln>
              <a:effectLst>
                <a:outerShdw blurRad="50800" dist="38100" dir="5400000" algn="t" rotWithShape="0">
                  <a:schemeClr val="bg1">
                    <a:lumMod val="65000"/>
                    <a:alpha val="32000"/>
                  </a:schemeClr>
                </a:outerShdw>
              </a:effectLst>
            </c:spPr>
          </c:dPt>
          <c:dPt>
            <c:idx val="1"/>
            <c:bubble3D val="0"/>
            <c:explosion val="0"/>
            <c:spPr>
              <a:solidFill>
                <a:srgbClr val="B7A1DD"/>
              </a:solidFill>
              <a:ln>
                <a:solidFill>
                  <a:schemeClr val="bg1"/>
                </a:solidFill>
              </a:ln>
              <a:effectLst>
                <a:outerShdw blurRad="50800" dist="38100" dir="5400000" algn="t" rotWithShape="0">
                  <a:schemeClr val="bg1">
                    <a:lumMod val="65000"/>
                    <a:alpha val="32000"/>
                  </a:schemeClr>
                </a:outerShdw>
              </a:effectLst>
            </c:spPr>
          </c:dPt>
          <c:dPt>
            <c:idx val="2"/>
            <c:bubble3D val="0"/>
            <c:explosion val="0"/>
            <c:spPr>
              <a:solidFill>
                <a:srgbClr val="58B2F2"/>
              </a:solidFill>
              <a:ln>
                <a:solidFill>
                  <a:schemeClr val="bg1"/>
                </a:solidFill>
              </a:ln>
              <a:effectLst>
                <a:outerShdw blurRad="50800" dist="38100" dir="5400000" algn="t" rotWithShape="0">
                  <a:schemeClr val="bg1">
                    <a:lumMod val="65000"/>
                    <a:alpha val="32000"/>
                  </a:schemeClr>
                </a:outerShdw>
              </a:effectLst>
            </c:spPr>
          </c:dPt>
          <c:dPt>
            <c:idx val="3"/>
            <c:bubble3D val="0"/>
            <c:explosion val="0"/>
            <c:spPr>
              <a:solidFill>
                <a:srgbClr val="2FC5CC"/>
              </a:solidFill>
              <a:ln>
                <a:solidFill>
                  <a:schemeClr val="bg1"/>
                </a:solidFill>
              </a:ln>
              <a:effectLst>
                <a:outerShdw blurRad="50800" dist="38100" dir="5400000" algn="t" rotWithShape="0">
                  <a:schemeClr val="bg1">
                    <a:lumMod val="65000"/>
                    <a:alpha val="32000"/>
                  </a:schemeClr>
                </a:outerShdw>
              </a:effectLst>
            </c:spPr>
          </c:dPt>
          <c:dPt>
            <c:idx val="4"/>
            <c:bubble3D val="0"/>
            <c:explosion val="0"/>
            <c:spPr>
              <a:solidFill>
                <a:srgbClr val="5B9BD5">
                  <a:lumMod val="75000"/>
                </a:srgbClr>
              </a:solidFill>
              <a:ln>
                <a:solidFill>
                  <a:schemeClr val="bg1"/>
                </a:solidFill>
              </a:ln>
              <a:effectLst>
                <a:outerShdw blurRad="50800" dist="38100" dir="5400000" algn="t" rotWithShape="0">
                  <a:schemeClr val="bg1">
                    <a:lumMod val="65000"/>
                    <a:alpha val="32000"/>
                  </a:schemeClr>
                </a:out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[费用统计表.xls]Sheet2!$L$26:$L$30</c:f>
              <c:strCache>
                <c:ptCount val="5"/>
                <c:pt idx="0">
                  <c:v>防洪保安</c:v>
                </c:pt>
                <c:pt idx="1">
                  <c:v>水资源保障</c:v>
                </c:pt>
                <c:pt idx="2">
                  <c:v>水生态环境</c:v>
                </c:pt>
                <c:pt idx="3">
                  <c:v>智慧水利</c:v>
                </c:pt>
                <c:pt idx="4">
                  <c:v>水生态价值转换</c:v>
                </c:pt>
              </c:strCache>
            </c:strRef>
          </c:cat>
          <c:val>
            <c:numRef>
              <c:f>[费用统计表.xls]Sheet2!$M$26:$M$30</c:f>
              <c:numCache>
                <c:formatCode>General</c:formatCode>
                <c:ptCount val="5"/>
                <c:pt idx="0">
                  <c:v>15</c:v>
                </c:pt>
                <c:pt idx="1">
                  <c:v>3.5</c:v>
                </c:pt>
                <c:pt idx="2">
                  <c:v>13.3</c:v>
                </c:pt>
                <c:pt idx="3">
                  <c:v>0.6</c:v>
                </c:pt>
                <c:pt idx="4">
                  <c:v>2</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b"/>
      <c:legendEntry>
        <c:idx val="0"/>
        <c:txPr>
          <a:bodyPr rot="0" spcFirstLastPara="0" vertOverflow="ellipsis" vert="horz" wrap="square" anchor="ctr" anchorCtr="0"/>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0"/>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0"/>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0"/>
          <a:lstStyle/>
          <a:p>
            <a:pPr>
              <a:defRPr lang="zh-CN" sz="900" b="0" i="0" u="none" strike="noStrike" kern="1200" baseline="0">
                <a:solidFill>
                  <a:schemeClr val="tx1"/>
                </a:solidFill>
                <a:latin typeface="+mn-lt"/>
                <a:ea typeface="+mn-ea"/>
                <a:cs typeface="+mn-cs"/>
              </a:defRPr>
            </a:pPr>
          </a:p>
        </c:txPr>
      </c:legendEntry>
      <c:legendEntry>
        <c:idx val="4"/>
        <c:txPr>
          <a:bodyPr rot="0" spcFirstLastPara="0" vertOverflow="ellipsis" vert="horz" wrap="square" anchor="ctr" anchorCtr="0"/>
          <a:lstStyle/>
          <a:p>
            <a:pPr>
              <a:defRPr lang="zh-CN" sz="900" b="0" i="0" u="none" strike="noStrike" kern="1200" baseline="0">
                <a:solidFill>
                  <a:schemeClr val="tx1"/>
                </a:solidFill>
                <a:latin typeface="+mn-lt"/>
                <a:ea typeface="+mn-ea"/>
                <a:cs typeface="+mn-cs"/>
              </a:defRPr>
            </a:pPr>
          </a:p>
        </c:txPr>
      </c:legendEntry>
      <c:layout>
        <c:manualLayout>
          <c:xMode val="edge"/>
          <c:yMode val="edge"/>
          <c:x val="0.23443868099296"/>
          <c:y val="0.863083813179782"/>
          <c:w val="0.531122638014079"/>
          <c:h val="0.121561100447857"/>
        </c:manualLayout>
      </c:layout>
      <c:overlay val="0"/>
      <c:spPr>
        <a:noFill/>
        <a:ln>
          <a:noFill/>
        </a:ln>
        <a:effectLst/>
      </c:spPr>
      <c:txPr>
        <a:bodyPr rot="0" spcFirstLastPara="0" vertOverflow="ellipsis" vert="horz" wrap="square" anchor="ctr" anchorCtr="0" forceAA="0"/>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gradFill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prstDash val="solid"/>
      <a:round/>
    </a:ln>
    <a:effectLst>
      <a:innerShdw blurRad="114300">
        <a:schemeClr val="bg1">
          <a:lumMod val="95000"/>
        </a:schemeClr>
      </a:innerShdw>
    </a:effectLst>
  </c:spPr>
  <c:txPr>
    <a:bodyPr wrap="square" anchor="t" anchorCtr="0"/>
    <a:lstStyle/>
    <a:p>
      <a:pPr>
        <a:defRPr lang="zh-CN">
          <a:solidFill>
            <a:schemeClr val="tx1"/>
          </a:solidFill>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B739F-8FE6-4DF7-A751-63B11017D43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47</Pages>
  <Words>23528</Words>
  <Characters>7770</Characters>
  <Lines>64</Lines>
  <Paragraphs>62</Paragraphs>
  <TotalTime>0</TotalTime>
  <ScaleCrop>false</ScaleCrop>
  <LinksUpToDate>false</LinksUpToDate>
  <CharactersWithSpaces>31236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2020-11-04T09:56:00Z</dcterms:created>
  <dc:creator>Administrator</dc:creator>
  <cp:lastModifiedBy>浮生未歇</cp:lastModifiedBy>
  <cp:lastPrinted>2021-08-13T12:14:00Z</cp:lastPrinted>
  <dcterms:modified xsi:type="dcterms:W3CDTF">2021-11-12T06:33:18Z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F4C3EACEB2194069B2CF55F88FF78F06</vt:lpwstr>
  </property>
</Properties>
</file>